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E43F0" w14:textId="77777777" w:rsidR="0028435A" w:rsidRPr="001E1104" w:rsidRDefault="0028435A" w:rsidP="0028435A">
      <w:pPr>
        <w:widowControl w:val="0"/>
        <w:autoSpaceDE w:val="0"/>
        <w:autoSpaceDN w:val="0"/>
        <w:adjustRightInd w:val="0"/>
        <w:jc w:val="center"/>
        <w:rPr>
          <w:rFonts w:ascii="Times New Roman" w:hAnsi="Times New Roman" w:cs="Times New Roman"/>
          <w:b/>
          <w:lang w:val="es-ES"/>
        </w:rPr>
      </w:pPr>
      <w:r w:rsidRPr="001E1104">
        <w:rPr>
          <w:rFonts w:ascii="Times New Roman" w:hAnsi="Times New Roman" w:cs="Times New Roman"/>
          <w:b/>
          <w:lang w:val="es-ES"/>
        </w:rPr>
        <w:t>IMPACTO DE LA ANEMIA EN EL DESEMPEÑO ESCOLAR DE NIÑOS Y ADOLESCENTES EN MÉXICO</w:t>
      </w:r>
    </w:p>
    <w:p w14:paraId="7B02AB28" w14:textId="77777777" w:rsidR="00501DC2" w:rsidRPr="0028435A" w:rsidRDefault="00501DC2" w:rsidP="0028435A">
      <w:pPr>
        <w:widowControl w:val="0"/>
        <w:autoSpaceDE w:val="0"/>
        <w:autoSpaceDN w:val="0"/>
        <w:adjustRightInd w:val="0"/>
        <w:jc w:val="center"/>
        <w:rPr>
          <w:rFonts w:ascii="Times New Roman" w:hAnsi="Times New Roman" w:cs="Times New Roman"/>
          <w:lang w:val="es-ES"/>
        </w:rPr>
      </w:pPr>
    </w:p>
    <w:p w14:paraId="0DF12B8D" w14:textId="0073F174" w:rsidR="0028435A" w:rsidRPr="0028435A" w:rsidRDefault="00501DC2" w:rsidP="0028435A">
      <w:pPr>
        <w:widowControl w:val="0"/>
        <w:autoSpaceDE w:val="0"/>
        <w:autoSpaceDN w:val="0"/>
        <w:adjustRightInd w:val="0"/>
        <w:rPr>
          <w:rFonts w:ascii="Times New Roman" w:hAnsi="Times New Roman" w:cs="Times New Roman"/>
          <w:lang w:val="es-ES"/>
        </w:rPr>
      </w:pPr>
      <w:r>
        <w:rPr>
          <w:rFonts w:ascii="Times New Roman" w:hAnsi="Times New Roman" w:cs="Times New Roman"/>
          <w:lang w:val="es-ES"/>
        </w:rPr>
        <w:t xml:space="preserve">Villagómez Estrada Karen Paola , Dr. </w:t>
      </w:r>
      <w:proofErr w:type="spellStart"/>
      <w:r>
        <w:rPr>
          <w:rFonts w:ascii="Times New Roman" w:hAnsi="Times New Roman" w:cs="Times New Roman"/>
          <w:lang w:val="es-ES"/>
        </w:rPr>
        <w:t>Mosiño</w:t>
      </w:r>
      <w:proofErr w:type="spellEnd"/>
      <w:r>
        <w:rPr>
          <w:rFonts w:ascii="Times New Roman" w:hAnsi="Times New Roman" w:cs="Times New Roman"/>
          <w:lang w:val="es-ES"/>
        </w:rPr>
        <w:t xml:space="preserve"> Jasso Alejandro, Dr. Prieto Patrón Alberto </w:t>
      </w:r>
    </w:p>
    <w:p w14:paraId="78208022" w14:textId="77777777" w:rsidR="0028435A" w:rsidRDefault="0028435A" w:rsidP="0028435A">
      <w:pPr>
        <w:widowControl w:val="0"/>
        <w:autoSpaceDE w:val="0"/>
        <w:autoSpaceDN w:val="0"/>
        <w:adjustRightInd w:val="0"/>
        <w:rPr>
          <w:rFonts w:ascii="Times New Roman" w:hAnsi="Times New Roman" w:cs="Times New Roman"/>
          <w:lang w:val="es-ES"/>
        </w:rPr>
      </w:pPr>
    </w:p>
    <w:p w14:paraId="73101643" w14:textId="77777777" w:rsidR="001E1104" w:rsidRPr="0028435A" w:rsidRDefault="001E1104" w:rsidP="0028435A">
      <w:pPr>
        <w:widowControl w:val="0"/>
        <w:autoSpaceDE w:val="0"/>
        <w:autoSpaceDN w:val="0"/>
        <w:adjustRightInd w:val="0"/>
        <w:rPr>
          <w:rFonts w:ascii="Times New Roman" w:hAnsi="Times New Roman" w:cs="Times New Roman"/>
          <w:lang w:val="es-ES"/>
        </w:rPr>
      </w:pPr>
    </w:p>
    <w:p w14:paraId="715DA801" w14:textId="75301EB1" w:rsidR="0028435A" w:rsidRPr="00947664" w:rsidRDefault="00501DC2" w:rsidP="00947664">
      <w:pPr>
        <w:spacing w:line="360" w:lineRule="auto"/>
        <w:ind w:firstLine="709"/>
        <w:jc w:val="both"/>
        <w:rPr>
          <w:rFonts w:ascii="Avenir Book" w:hAnsi="Avenir Book" w:cs="Helvetica"/>
          <w:lang w:val="es-ES"/>
        </w:rPr>
      </w:pPr>
      <w:r w:rsidRPr="00501DC2">
        <w:rPr>
          <w:rFonts w:ascii="Avenir Book" w:hAnsi="Avenir Book" w:cs="Helvetica"/>
          <w:lang w:val="es-ES"/>
        </w:rPr>
        <w:t>Resumen</w:t>
      </w:r>
    </w:p>
    <w:p w14:paraId="398928EC" w14:textId="77777777" w:rsidR="0028435A" w:rsidRPr="00BB012A" w:rsidRDefault="0028435A" w:rsidP="00501DC2">
      <w:pPr>
        <w:spacing w:line="360" w:lineRule="auto"/>
        <w:ind w:firstLine="709"/>
        <w:jc w:val="both"/>
        <w:rPr>
          <w:rFonts w:ascii="Avenir Book" w:hAnsi="Avenir Book" w:cs="Helvetica"/>
          <w:lang w:val="es-ES"/>
        </w:rPr>
      </w:pPr>
      <w:r w:rsidRPr="00BB012A">
        <w:rPr>
          <w:rFonts w:ascii="Avenir Book" w:hAnsi="Avenir Book" w:cs="Helvetica"/>
          <w:lang w:val="es-ES"/>
        </w:rPr>
        <w:t>La anemia es un problema de salud públ</w:t>
      </w:r>
      <w:r>
        <w:rPr>
          <w:rFonts w:ascii="Avenir Book" w:hAnsi="Avenir Book" w:cs="Helvetica"/>
          <w:lang w:val="es-ES"/>
        </w:rPr>
        <w:t>ica que afecta alrededor del 25</w:t>
      </w:r>
      <w:r w:rsidRPr="00BB012A">
        <w:rPr>
          <w:rFonts w:ascii="Avenir Book" w:hAnsi="Avenir Book" w:cs="Helvetica"/>
          <w:lang w:val="es-ES"/>
        </w:rPr>
        <w:t xml:space="preserve">% de la población mundial. Se ha asociado, además, con la reducción en las habilidades cognoscitivas tanto en niños como en jóvenes en edad escolar. En el presente artículo estudiamos la relación que existe entre el ausentismo, la deserción escolar, el rezago estudiantil y la anemia utilizando como muestra la población </w:t>
      </w:r>
      <w:r>
        <w:rPr>
          <w:rFonts w:ascii="Avenir Book" w:hAnsi="Avenir Book" w:cs="Helvetica"/>
          <w:lang w:val="es-ES"/>
        </w:rPr>
        <w:t>estudiantil mexicana de entre 12</w:t>
      </w:r>
      <w:r w:rsidRPr="00BB012A">
        <w:rPr>
          <w:rFonts w:ascii="Avenir Book" w:hAnsi="Avenir Book" w:cs="Helvetica"/>
          <w:lang w:val="es-ES"/>
        </w:rPr>
        <w:t xml:space="preserve"> y 19 años de edad. Para lo anterior, se ha desarrollado una base de datos original que parte de la Encuesta Nacional de Salud y Nutrición (ENSANUT, 2012). Encontramos que, aunque la anemia es importante para explicar nuestras variables de interés, el impacto es más significativo para las mujeres más jóvenes pertenecientes al 20% más pobre.</w:t>
      </w:r>
    </w:p>
    <w:p w14:paraId="08E7A3F2" w14:textId="77777777" w:rsidR="0028435A" w:rsidRDefault="0028435A" w:rsidP="0028435A">
      <w:pPr>
        <w:widowControl w:val="0"/>
        <w:autoSpaceDE w:val="0"/>
        <w:autoSpaceDN w:val="0"/>
        <w:adjustRightInd w:val="0"/>
        <w:rPr>
          <w:rFonts w:ascii="Times New Roman" w:hAnsi="Times New Roman" w:cs="Times New Roman"/>
          <w:lang w:val="es-ES"/>
        </w:rPr>
      </w:pPr>
    </w:p>
    <w:p w14:paraId="1F1E511F" w14:textId="2AAE20E1" w:rsidR="0028435A" w:rsidRPr="00501DC2" w:rsidRDefault="0028435A" w:rsidP="00947664">
      <w:pPr>
        <w:spacing w:line="360" w:lineRule="auto"/>
        <w:ind w:firstLine="709"/>
        <w:jc w:val="both"/>
        <w:rPr>
          <w:rFonts w:ascii="Avenir Book" w:hAnsi="Avenir Book" w:cs="Helvetica"/>
          <w:lang w:val="es-ES"/>
        </w:rPr>
      </w:pPr>
      <w:proofErr w:type="spellStart"/>
      <w:r w:rsidRPr="00501DC2">
        <w:rPr>
          <w:rFonts w:ascii="Avenir Book" w:hAnsi="Avenir Book" w:cs="Helvetica"/>
          <w:lang w:val="es-ES"/>
        </w:rPr>
        <w:t>Abstract</w:t>
      </w:r>
      <w:proofErr w:type="spellEnd"/>
    </w:p>
    <w:p w14:paraId="01F138E8" w14:textId="0668E920" w:rsidR="00551762" w:rsidRPr="00501DC2" w:rsidRDefault="0028435A" w:rsidP="00501DC2">
      <w:pPr>
        <w:spacing w:line="360" w:lineRule="auto"/>
        <w:ind w:firstLine="709"/>
        <w:jc w:val="both"/>
        <w:rPr>
          <w:rFonts w:ascii="Avenir Book" w:hAnsi="Avenir Book" w:cs="Helvetica"/>
          <w:lang w:val="es-ES"/>
        </w:rPr>
      </w:pPr>
      <w:r w:rsidRPr="00501DC2">
        <w:rPr>
          <w:rFonts w:ascii="Avenir Book" w:hAnsi="Avenir Book" w:cs="Helvetica"/>
          <w:lang w:val="es-ES"/>
        </w:rPr>
        <w:t xml:space="preserve">Anemia </w:t>
      </w:r>
      <w:proofErr w:type="spellStart"/>
      <w:r w:rsidRPr="00501DC2">
        <w:rPr>
          <w:rFonts w:ascii="Avenir Book" w:hAnsi="Avenir Book" w:cs="Helvetica"/>
          <w:lang w:val="es-ES"/>
        </w:rPr>
        <w:t>is</w:t>
      </w:r>
      <w:proofErr w:type="spellEnd"/>
      <w:r w:rsidRPr="00501DC2">
        <w:rPr>
          <w:rFonts w:ascii="Avenir Book" w:hAnsi="Avenir Book" w:cs="Helvetica"/>
          <w:lang w:val="es-ES"/>
        </w:rPr>
        <w:t xml:space="preserve"> a </w:t>
      </w:r>
      <w:proofErr w:type="spellStart"/>
      <w:r w:rsidRPr="00501DC2">
        <w:rPr>
          <w:rFonts w:ascii="Avenir Book" w:hAnsi="Avenir Book" w:cs="Helvetica"/>
          <w:lang w:val="es-ES"/>
        </w:rPr>
        <w:t>public</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health</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problem</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that</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affects</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about</w:t>
      </w:r>
      <w:proofErr w:type="spellEnd"/>
      <w:r w:rsidRPr="00501DC2">
        <w:rPr>
          <w:rFonts w:ascii="Avenir Book" w:hAnsi="Avenir Book" w:cs="Helvetica"/>
          <w:lang w:val="es-ES"/>
        </w:rPr>
        <w:t xml:space="preserve"> 25% of </w:t>
      </w:r>
      <w:proofErr w:type="spellStart"/>
      <w:r w:rsidRPr="00501DC2">
        <w:rPr>
          <w:rFonts w:ascii="Avenir Book" w:hAnsi="Avenir Book" w:cs="Helvetica"/>
          <w:lang w:val="es-ES"/>
        </w:rPr>
        <w:t>the</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world</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population</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It</w:t>
      </w:r>
      <w:proofErr w:type="spellEnd"/>
      <w:r w:rsidRPr="00501DC2">
        <w:rPr>
          <w:rFonts w:ascii="Avenir Book" w:hAnsi="Avenir Book" w:cs="Helvetica"/>
          <w:lang w:val="es-ES"/>
        </w:rPr>
        <w:t xml:space="preserve"> has </w:t>
      </w:r>
      <w:proofErr w:type="spellStart"/>
      <w:r w:rsidRPr="00501DC2">
        <w:rPr>
          <w:rFonts w:ascii="Avenir Book" w:hAnsi="Avenir Book" w:cs="Helvetica"/>
          <w:lang w:val="es-ES"/>
        </w:rPr>
        <w:t>also</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been</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associated</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with</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reduced</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cognitive</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skills</w:t>
      </w:r>
      <w:proofErr w:type="spellEnd"/>
      <w:r w:rsidRPr="00501DC2">
        <w:rPr>
          <w:rFonts w:ascii="Avenir Book" w:hAnsi="Avenir Book" w:cs="Helvetica"/>
          <w:lang w:val="es-ES"/>
        </w:rPr>
        <w:t xml:space="preserve"> in </w:t>
      </w:r>
      <w:proofErr w:type="spellStart"/>
      <w:r w:rsidRPr="00501DC2">
        <w:rPr>
          <w:rFonts w:ascii="Avenir Book" w:hAnsi="Avenir Book" w:cs="Helvetica"/>
          <w:lang w:val="es-ES"/>
        </w:rPr>
        <w:t>school</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age</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children</w:t>
      </w:r>
      <w:proofErr w:type="spellEnd"/>
      <w:r w:rsidRPr="00501DC2">
        <w:rPr>
          <w:rFonts w:ascii="Avenir Book" w:hAnsi="Avenir Book" w:cs="Helvetica"/>
          <w:lang w:val="es-ES"/>
        </w:rPr>
        <w:t xml:space="preserve"> and </w:t>
      </w:r>
      <w:proofErr w:type="spellStart"/>
      <w:r w:rsidRPr="00501DC2">
        <w:rPr>
          <w:rFonts w:ascii="Avenir Book" w:hAnsi="Avenir Book" w:cs="Helvetica"/>
          <w:lang w:val="es-ES"/>
        </w:rPr>
        <w:t>young</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people</w:t>
      </w:r>
      <w:proofErr w:type="spellEnd"/>
      <w:r w:rsidRPr="00501DC2">
        <w:rPr>
          <w:rFonts w:ascii="Avenir Book" w:hAnsi="Avenir Book" w:cs="Helvetica"/>
          <w:lang w:val="es-ES"/>
        </w:rPr>
        <w:t xml:space="preserve">. In </w:t>
      </w:r>
      <w:proofErr w:type="spellStart"/>
      <w:r w:rsidRPr="00501DC2">
        <w:rPr>
          <w:rFonts w:ascii="Avenir Book" w:hAnsi="Avenir Book" w:cs="Helvetica"/>
          <w:lang w:val="es-ES"/>
        </w:rPr>
        <w:t>this</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paper</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we</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study</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the</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relationship</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between</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absenteeism</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school</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dropouts</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student</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lag</w:t>
      </w:r>
      <w:proofErr w:type="spellEnd"/>
      <w:r w:rsidRPr="00501DC2">
        <w:rPr>
          <w:rFonts w:ascii="Avenir Book" w:hAnsi="Avenir Book" w:cs="Helvetica"/>
          <w:lang w:val="es-ES"/>
        </w:rPr>
        <w:t xml:space="preserve">, and anemia </w:t>
      </w:r>
      <w:proofErr w:type="spellStart"/>
      <w:r w:rsidRPr="00501DC2">
        <w:rPr>
          <w:rFonts w:ascii="Avenir Book" w:hAnsi="Avenir Book" w:cs="Helvetica"/>
          <w:lang w:val="es-ES"/>
        </w:rPr>
        <w:t>using</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Mexican</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student</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population</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aged</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between</w:t>
      </w:r>
      <w:proofErr w:type="spellEnd"/>
      <w:r w:rsidRPr="00501DC2">
        <w:rPr>
          <w:rFonts w:ascii="Avenir Book" w:hAnsi="Avenir Book" w:cs="Helvetica"/>
          <w:lang w:val="es-ES"/>
        </w:rPr>
        <w:t xml:space="preserve"> 13 and 19 </w:t>
      </w:r>
      <w:proofErr w:type="spellStart"/>
      <w:r w:rsidRPr="00501DC2">
        <w:rPr>
          <w:rFonts w:ascii="Avenir Book" w:hAnsi="Avenir Book" w:cs="Helvetica"/>
          <w:lang w:val="es-ES"/>
        </w:rPr>
        <w:t>years</w:t>
      </w:r>
      <w:proofErr w:type="spellEnd"/>
      <w:r w:rsidRPr="00501DC2">
        <w:rPr>
          <w:rFonts w:ascii="Avenir Book" w:hAnsi="Avenir Book" w:cs="Helvetica"/>
          <w:lang w:val="es-ES"/>
        </w:rPr>
        <w:t xml:space="preserve"> as a </w:t>
      </w:r>
      <w:proofErr w:type="spellStart"/>
      <w:r w:rsidRPr="00501DC2">
        <w:rPr>
          <w:rFonts w:ascii="Avenir Book" w:hAnsi="Avenir Book" w:cs="Helvetica"/>
          <w:lang w:val="es-ES"/>
        </w:rPr>
        <w:t>sample</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To</w:t>
      </w:r>
      <w:proofErr w:type="spellEnd"/>
      <w:r w:rsidRPr="00501DC2">
        <w:rPr>
          <w:rFonts w:ascii="Avenir Book" w:hAnsi="Avenir Book" w:cs="Helvetica"/>
          <w:lang w:val="es-ES"/>
        </w:rPr>
        <w:t xml:space="preserve"> do </w:t>
      </w:r>
      <w:proofErr w:type="spellStart"/>
      <w:r w:rsidRPr="00501DC2">
        <w:rPr>
          <w:rFonts w:ascii="Avenir Book" w:hAnsi="Avenir Book" w:cs="Helvetica"/>
          <w:lang w:val="es-ES"/>
        </w:rPr>
        <w:t>this</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we</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have</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built</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an</w:t>
      </w:r>
      <w:proofErr w:type="spellEnd"/>
      <w:r w:rsidRPr="00501DC2">
        <w:rPr>
          <w:rFonts w:ascii="Avenir Book" w:hAnsi="Avenir Book" w:cs="Helvetica"/>
          <w:lang w:val="es-ES"/>
        </w:rPr>
        <w:t xml:space="preserve"> original </w:t>
      </w:r>
      <w:proofErr w:type="spellStart"/>
      <w:r w:rsidRPr="00501DC2">
        <w:rPr>
          <w:rFonts w:ascii="Avenir Book" w:hAnsi="Avenir Book" w:cs="Helvetica"/>
          <w:lang w:val="es-ES"/>
        </w:rPr>
        <w:t>database</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that</w:t>
      </w:r>
      <w:proofErr w:type="spellEnd"/>
      <w:r w:rsidRPr="00501DC2">
        <w:rPr>
          <w:rFonts w:ascii="Avenir Book" w:hAnsi="Avenir Book" w:cs="Helvetica"/>
          <w:lang w:val="es-ES"/>
        </w:rPr>
        <w:t xml:space="preserve"> has </w:t>
      </w:r>
      <w:proofErr w:type="spellStart"/>
      <w:r w:rsidRPr="00501DC2">
        <w:rPr>
          <w:rFonts w:ascii="Avenir Book" w:hAnsi="Avenir Book" w:cs="Helvetica"/>
          <w:lang w:val="es-ES"/>
        </w:rPr>
        <w:t>been</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developed</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from</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the</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Mexican</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National</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Health</w:t>
      </w:r>
      <w:proofErr w:type="spellEnd"/>
      <w:r w:rsidRPr="00501DC2">
        <w:rPr>
          <w:rFonts w:ascii="Avenir Book" w:hAnsi="Avenir Book" w:cs="Helvetica"/>
          <w:lang w:val="es-ES"/>
        </w:rPr>
        <w:t xml:space="preserve"> and </w:t>
      </w:r>
      <w:proofErr w:type="spellStart"/>
      <w:r w:rsidRPr="00501DC2">
        <w:rPr>
          <w:rFonts w:ascii="Avenir Book" w:hAnsi="Avenir Book" w:cs="Helvetica"/>
          <w:lang w:val="es-ES"/>
        </w:rPr>
        <w:t>Nutrition</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Examination</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Survey</w:t>
      </w:r>
      <w:proofErr w:type="spellEnd"/>
      <w:r w:rsidRPr="00501DC2">
        <w:rPr>
          <w:rFonts w:ascii="Avenir Book" w:hAnsi="Avenir Book" w:cs="Helvetica"/>
          <w:lang w:val="es-ES"/>
        </w:rPr>
        <w:t xml:space="preserve"> (ENSANUT, 2012). </w:t>
      </w:r>
      <w:proofErr w:type="spellStart"/>
      <w:r w:rsidRPr="00501DC2">
        <w:rPr>
          <w:rFonts w:ascii="Avenir Book" w:hAnsi="Avenir Book" w:cs="Helvetica"/>
          <w:lang w:val="es-ES"/>
        </w:rPr>
        <w:t>We</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found</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that</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although</w:t>
      </w:r>
      <w:proofErr w:type="spellEnd"/>
      <w:r w:rsidRPr="00501DC2">
        <w:rPr>
          <w:rFonts w:ascii="Avenir Book" w:hAnsi="Avenir Book" w:cs="Helvetica"/>
          <w:lang w:val="es-ES"/>
        </w:rPr>
        <w:t xml:space="preserve"> anemia </w:t>
      </w:r>
      <w:proofErr w:type="spellStart"/>
      <w:r w:rsidRPr="00501DC2">
        <w:rPr>
          <w:rFonts w:ascii="Avenir Book" w:hAnsi="Avenir Book" w:cs="Helvetica"/>
          <w:lang w:val="es-ES"/>
        </w:rPr>
        <w:t>is</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important</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to</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explain</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our</w:t>
      </w:r>
      <w:proofErr w:type="spellEnd"/>
      <w:r w:rsidRPr="00501DC2">
        <w:rPr>
          <w:rFonts w:ascii="Avenir Book" w:hAnsi="Avenir Book" w:cs="Helvetica"/>
          <w:lang w:val="es-ES"/>
        </w:rPr>
        <w:t xml:space="preserve"> variables of </w:t>
      </w:r>
      <w:proofErr w:type="spellStart"/>
      <w:r w:rsidRPr="00501DC2">
        <w:rPr>
          <w:rFonts w:ascii="Avenir Book" w:hAnsi="Avenir Book" w:cs="Helvetica"/>
          <w:lang w:val="es-ES"/>
        </w:rPr>
        <w:t>interest</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the</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impact</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is</w:t>
      </w:r>
      <w:proofErr w:type="spellEnd"/>
      <w:r w:rsidRPr="00501DC2">
        <w:rPr>
          <w:rFonts w:ascii="Avenir Book" w:hAnsi="Avenir Book" w:cs="Helvetica"/>
          <w:lang w:val="es-ES"/>
        </w:rPr>
        <w:t xml:space="preserve"> more </w:t>
      </w:r>
      <w:proofErr w:type="spellStart"/>
      <w:r w:rsidRPr="00501DC2">
        <w:rPr>
          <w:rFonts w:ascii="Avenir Book" w:hAnsi="Avenir Book" w:cs="Helvetica"/>
          <w:lang w:val="es-ES"/>
        </w:rPr>
        <w:t>significant</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for</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younger</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women</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belonging</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to</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the</w:t>
      </w:r>
      <w:proofErr w:type="spellEnd"/>
      <w:r w:rsidRPr="00501DC2">
        <w:rPr>
          <w:rFonts w:ascii="Avenir Book" w:hAnsi="Avenir Book" w:cs="Helvetica"/>
          <w:lang w:val="es-ES"/>
        </w:rPr>
        <w:t xml:space="preserve"> </w:t>
      </w:r>
      <w:proofErr w:type="spellStart"/>
      <w:r w:rsidRPr="00501DC2">
        <w:rPr>
          <w:rFonts w:ascii="Avenir Book" w:hAnsi="Avenir Book" w:cs="Helvetica"/>
          <w:lang w:val="es-ES"/>
        </w:rPr>
        <w:t>poorest</w:t>
      </w:r>
      <w:proofErr w:type="spellEnd"/>
      <w:r w:rsidRPr="00501DC2">
        <w:rPr>
          <w:rFonts w:ascii="Avenir Book" w:hAnsi="Avenir Book" w:cs="Helvetica"/>
          <w:lang w:val="es-ES"/>
        </w:rPr>
        <w:t xml:space="preserve"> 20%.</w:t>
      </w:r>
    </w:p>
    <w:p w14:paraId="52166D07" w14:textId="77777777" w:rsidR="00947664" w:rsidRDefault="00947664" w:rsidP="009F5B57">
      <w:pPr>
        <w:spacing w:line="360" w:lineRule="auto"/>
        <w:rPr>
          <w:rFonts w:ascii="Times New Roman" w:hAnsi="Times New Roman" w:cs="Times New Roman"/>
          <w:b/>
        </w:rPr>
      </w:pPr>
    </w:p>
    <w:p w14:paraId="416181C8" w14:textId="77777777" w:rsidR="00947664" w:rsidRDefault="00947664" w:rsidP="009F5B57">
      <w:pPr>
        <w:spacing w:line="360" w:lineRule="auto"/>
        <w:rPr>
          <w:rFonts w:ascii="Times New Roman" w:hAnsi="Times New Roman" w:cs="Times New Roman"/>
          <w:b/>
        </w:rPr>
      </w:pPr>
    </w:p>
    <w:p w14:paraId="32CBE41B" w14:textId="0C5457A3" w:rsidR="0067778B" w:rsidRPr="009F5B57" w:rsidRDefault="00551762" w:rsidP="009F5B57">
      <w:pPr>
        <w:spacing w:line="360" w:lineRule="auto"/>
        <w:rPr>
          <w:rFonts w:ascii="Times New Roman" w:hAnsi="Times New Roman" w:cs="Times New Roman"/>
          <w:b/>
        </w:rPr>
      </w:pPr>
      <w:r w:rsidRPr="009F5B57">
        <w:rPr>
          <w:rFonts w:ascii="Times New Roman" w:hAnsi="Times New Roman" w:cs="Times New Roman"/>
          <w:b/>
        </w:rPr>
        <w:lastRenderedPageBreak/>
        <w:t>Ca</w:t>
      </w:r>
      <w:r w:rsidR="0067778B" w:rsidRPr="009F5B57">
        <w:rPr>
          <w:rFonts w:ascii="Times New Roman" w:hAnsi="Times New Roman" w:cs="Times New Roman"/>
          <w:b/>
        </w:rPr>
        <w:t>p</w:t>
      </w:r>
      <w:r w:rsidR="00DD0C9A" w:rsidRPr="009F5B57">
        <w:rPr>
          <w:rFonts w:ascii="Times New Roman" w:hAnsi="Times New Roman" w:cs="Times New Roman"/>
          <w:b/>
        </w:rPr>
        <w:t>ítulo</w:t>
      </w:r>
      <w:r w:rsidR="0067778B" w:rsidRPr="009F5B57">
        <w:rPr>
          <w:rFonts w:ascii="Times New Roman" w:hAnsi="Times New Roman" w:cs="Times New Roman"/>
          <w:b/>
        </w:rPr>
        <w:t xml:space="preserve"> 1 Introducción</w:t>
      </w:r>
    </w:p>
    <w:p w14:paraId="4684BE25" w14:textId="77777777" w:rsidR="007C3F01" w:rsidRPr="009F5B57" w:rsidRDefault="007C3F01" w:rsidP="009F5B57">
      <w:pPr>
        <w:spacing w:line="360" w:lineRule="auto"/>
        <w:rPr>
          <w:rFonts w:ascii="Times New Roman" w:hAnsi="Times New Roman" w:cs="Times New Roman"/>
        </w:rPr>
      </w:pPr>
    </w:p>
    <w:p w14:paraId="5B05C1CF" w14:textId="54BCA022" w:rsidR="00501DC2" w:rsidRPr="009F5B57" w:rsidRDefault="00D229E1" w:rsidP="00947664">
      <w:pPr>
        <w:spacing w:line="360" w:lineRule="auto"/>
        <w:ind w:firstLine="709"/>
        <w:jc w:val="both"/>
        <w:rPr>
          <w:rFonts w:ascii="Times New Roman" w:hAnsi="Times New Roman" w:cs="Times New Roman"/>
          <w:lang w:val="es-ES"/>
        </w:rPr>
      </w:pPr>
      <w:r w:rsidRPr="009F5B57">
        <w:rPr>
          <w:rFonts w:ascii="Times New Roman" w:hAnsi="Times New Roman" w:cs="Times New Roman"/>
          <w:lang w:val="es-ES"/>
        </w:rPr>
        <w:t>La existencia de la relación entre la deserción estudiantil y rezago con la anemia  en México es un tema que ha sido poco</w:t>
      </w:r>
      <w:r w:rsidR="00501DC2">
        <w:rPr>
          <w:rFonts w:ascii="Times New Roman" w:hAnsi="Times New Roman" w:cs="Times New Roman"/>
          <w:lang w:val="es-ES"/>
        </w:rPr>
        <w:t xml:space="preserve"> analizado en los últimos años.</w:t>
      </w:r>
    </w:p>
    <w:p w14:paraId="24725698" w14:textId="34334202" w:rsidR="00D229E1" w:rsidRPr="009F5B57" w:rsidRDefault="00D229E1" w:rsidP="00472743">
      <w:pPr>
        <w:widowControl w:val="0"/>
        <w:autoSpaceDE w:val="0"/>
        <w:autoSpaceDN w:val="0"/>
        <w:adjustRightInd w:val="0"/>
        <w:spacing w:line="360" w:lineRule="auto"/>
        <w:ind w:firstLine="709"/>
        <w:jc w:val="both"/>
        <w:rPr>
          <w:rFonts w:ascii="Times New Roman" w:hAnsi="Times New Roman" w:cs="Times New Roman"/>
          <w:lang w:val="es-ES"/>
        </w:rPr>
      </w:pPr>
      <w:r w:rsidRPr="009F5B57">
        <w:rPr>
          <w:rFonts w:ascii="Times New Roman" w:hAnsi="Times New Roman" w:cs="Times New Roman"/>
          <w:lang w:val="es-ES"/>
        </w:rPr>
        <w:t>Algunos estudios</w:t>
      </w:r>
      <w:r w:rsidR="00FA2C1F" w:rsidRPr="009F5B57">
        <w:rPr>
          <w:rFonts w:ascii="Times New Roman" w:hAnsi="Times New Roman" w:cs="Times New Roman"/>
          <w:lang w:val="es-ES"/>
        </w:rPr>
        <w:t xml:space="preserve"> argumentan que</w:t>
      </w:r>
      <w:r w:rsidR="001E2A56" w:rsidRPr="009F5B57">
        <w:rPr>
          <w:rFonts w:ascii="Times New Roman" w:hAnsi="Times New Roman" w:cs="Times New Roman"/>
          <w:lang w:val="es-ES"/>
        </w:rPr>
        <w:t xml:space="preserve"> el bajo desempeño escolar debido a la anemia, es un problema de salud pública severo puesto que los daños ocasionados al tener niveles bajos de hierro en algunos casos son irreversibles, teniendo costos elevados a corto y largo plazo. </w:t>
      </w:r>
    </w:p>
    <w:p w14:paraId="5A7D68A9" w14:textId="63582752" w:rsidR="003A1483" w:rsidRPr="00947664" w:rsidRDefault="00D229E1" w:rsidP="00947664">
      <w:pPr>
        <w:pStyle w:val="NormalWeb"/>
        <w:spacing w:line="360" w:lineRule="auto"/>
        <w:ind w:firstLine="709"/>
        <w:jc w:val="both"/>
        <w:rPr>
          <w:rFonts w:ascii="Times New Roman" w:hAnsi="Times New Roman"/>
          <w:sz w:val="24"/>
          <w:szCs w:val="24"/>
          <w:lang w:val="es-ES"/>
        </w:rPr>
      </w:pPr>
      <w:r w:rsidRPr="009F5B57">
        <w:rPr>
          <w:rFonts w:ascii="Times New Roman" w:hAnsi="Times New Roman"/>
          <w:sz w:val="24"/>
          <w:szCs w:val="24"/>
          <w:lang w:val="es-ES"/>
        </w:rPr>
        <w:t xml:space="preserve">Desde el punto de vista metodológico, se utiliza un modelo no lineal de elección binaria del tipo </w:t>
      </w:r>
      <w:proofErr w:type="spellStart"/>
      <w:r w:rsidRPr="009F5B57">
        <w:rPr>
          <w:rFonts w:ascii="Times New Roman" w:hAnsi="Times New Roman"/>
          <w:sz w:val="24"/>
          <w:szCs w:val="24"/>
          <w:lang w:val="es-ES"/>
        </w:rPr>
        <w:t>logit</w:t>
      </w:r>
      <w:proofErr w:type="spellEnd"/>
      <w:r w:rsidRPr="009F5B57">
        <w:rPr>
          <w:rFonts w:ascii="Times New Roman" w:hAnsi="Times New Roman"/>
          <w:sz w:val="24"/>
          <w:szCs w:val="24"/>
          <w:lang w:val="es-ES"/>
        </w:rPr>
        <w:t xml:space="preserve">, esto debido a las características de nuestra variable dependiente. La base de datos que se utilizó se creó a partir de la base de datos de ENSANUT 2012. </w:t>
      </w:r>
      <w:r w:rsidRPr="00501DC2">
        <w:rPr>
          <w:rFonts w:ascii="Times New Roman" w:hAnsi="Times New Roman"/>
          <w:sz w:val="24"/>
          <w:szCs w:val="24"/>
          <w:lang w:val="es-ES"/>
        </w:rPr>
        <w:t>El trabajo está estructurado de la siguiente manera: el Capítulo 2 proporciona una introducción acerca de la anemia, sus consecuencias, la relación con la educación así como el impacto que tiene en México; el Capítulo 3 muestra el marco teórico, la formulación de hipótesis y una pequeña descripción de la base de datos; el Capítulo 4 muestra el análisis</w:t>
      </w:r>
      <w:r w:rsidR="003A1483" w:rsidRPr="00501DC2">
        <w:rPr>
          <w:rFonts w:ascii="Times New Roman" w:hAnsi="Times New Roman"/>
          <w:sz w:val="24"/>
          <w:szCs w:val="24"/>
          <w:lang w:val="es-ES"/>
        </w:rPr>
        <w:t xml:space="preserve"> empírico y describe el modelo </w:t>
      </w:r>
      <w:r w:rsidRPr="00501DC2">
        <w:rPr>
          <w:rFonts w:ascii="Times New Roman" w:hAnsi="Times New Roman"/>
          <w:sz w:val="24"/>
          <w:szCs w:val="24"/>
          <w:lang w:val="es-ES"/>
        </w:rPr>
        <w:t>utilizado; el Capítulo 5 expone resultados obtenidos en dicha investigación, finalmente, el Capítulo 6 contiene los comentarios y sugerencias respecto a los resultados obtenidos.</w:t>
      </w:r>
    </w:p>
    <w:p w14:paraId="152C4EE0" w14:textId="7EB26D86" w:rsidR="0046565A" w:rsidRPr="006019EE" w:rsidRDefault="0046565A" w:rsidP="009F5B57">
      <w:pPr>
        <w:spacing w:line="360" w:lineRule="auto"/>
        <w:rPr>
          <w:rFonts w:ascii="Times New Roman" w:hAnsi="Times New Roman" w:cs="Times New Roman"/>
          <w:b/>
        </w:rPr>
      </w:pPr>
      <w:r w:rsidRPr="009F5B57">
        <w:rPr>
          <w:rFonts w:ascii="Times New Roman" w:hAnsi="Times New Roman" w:cs="Times New Roman"/>
          <w:b/>
        </w:rPr>
        <w:t xml:space="preserve">Capítulo 2 La anemia y el rendimiento escolar </w:t>
      </w:r>
    </w:p>
    <w:p w14:paraId="39063CE5" w14:textId="78784DAD" w:rsidR="003B3F96" w:rsidRPr="006019EE" w:rsidRDefault="0046565A" w:rsidP="009F5B57">
      <w:pPr>
        <w:spacing w:line="360" w:lineRule="auto"/>
        <w:ind w:left="567"/>
        <w:rPr>
          <w:rFonts w:ascii="Times New Roman" w:hAnsi="Times New Roman" w:cs="Times New Roman"/>
          <w:i/>
        </w:rPr>
      </w:pPr>
      <w:r w:rsidRPr="006019EE">
        <w:rPr>
          <w:rFonts w:ascii="Times New Roman" w:hAnsi="Times New Roman" w:cs="Times New Roman"/>
          <w:i/>
        </w:rPr>
        <w:t>2.1 La anemia</w:t>
      </w:r>
    </w:p>
    <w:p w14:paraId="2B03662C" w14:textId="48928842" w:rsidR="0046565A" w:rsidRPr="009F5B57" w:rsidRDefault="0046565A" w:rsidP="009F5B57">
      <w:pPr>
        <w:pStyle w:val="NormalWeb"/>
        <w:shd w:val="clear" w:color="auto" w:fill="FFFFFF"/>
        <w:spacing w:line="360" w:lineRule="auto"/>
        <w:ind w:firstLine="709"/>
        <w:jc w:val="both"/>
        <w:rPr>
          <w:rFonts w:ascii="Times New Roman" w:hAnsi="Times New Roman"/>
          <w:sz w:val="24"/>
          <w:szCs w:val="24"/>
        </w:rPr>
      </w:pPr>
      <w:r w:rsidRPr="009F5B57">
        <w:rPr>
          <w:rFonts w:ascii="Times New Roman" w:hAnsi="Times New Roman"/>
          <w:sz w:val="24"/>
          <w:szCs w:val="24"/>
        </w:rPr>
        <w:t xml:space="preserve">“La anemia es un estado </w:t>
      </w:r>
      <w:r w:rsidR="00DB78B3" w:rsidRPr="009F5B57">
        <w:rPr>
          <w:rFonts w:ascii="Times New Roman" w:hAnsi="Times New Roman"/>
          <w:sz w:val="24"/>
          <w:szCs w:val="24"/>
        </w:rPr>
        <w:t xml:space="preserve"> </w:t>
      </w:r>
      <w:r w:rsidRPr="009F5B57">
        <w:rPr>
          <w:rFonts w:ascii="Times New Roman" w:hAnsi="Times New Roman"/>
          <w:sz w:val="24"/>
          <w:szCs w:val="24"/>
        </w:rPr>
        <w:t>en el cual el número de células rojas en la sangre es insuficiente para satisfacer los requerimientos fisiológicos del ser humano</w:t>
      </w:r>
      <w:r w:rsidR="00DB78B3" w:rsidRPr="009F5B57">
        <w:rPr>
          <w:rFonts w:ascii="Times New Roman" w:hAnsi="Times New Roman"/>
          <w:sz w:val="24"/>
          <w:szCs w:val="24"/>
        </w:rPr>
        <w:t>.</w:t>
      </w:r>
      <w:r w:rsidR="00B069E4" w:rsidRPr="009F5B57">
        <w:rPr>
          <w:rFonts w:ascii="Times New Roman" w:hAnsi="Times New Roman"/>
          <w:sz w:val="24"/>
          <w:szCs w:val="24"/>
        </w:rPr>
        <w:t xml:space="preserve"> </w:t>
      </w:r>
      <w:r w:rsidRPr="009F5B57">
        <w:rPr>
          <w:rFonts w:ascii="Times New Roman" w:hAnsi="Times New Roman"/>
          <w:sz w:val="24"/>
          <w:szCs w:val="24"/>
        </w:rPr>
        <w:t>Las células roja</w:t>
      </w:r>
      <w:r w:rsidR="00B85472" w:rsidRPr="009F5B57">
        <w:rPr>
          <w:rFonts w:ascii="Times New Roman" w:hAnsi="Times New Roman"/>
          <w:sz w:val="24"/>
          <w:szCs w:val="24"/>
        </w:rPr>
        <w:t>s juegan un papel preponderante</w:t>
      </w:r>
      <w:r w:rsidR="00DB78B3" w:rsidRPr="009F5B57">
        <w:rPr>
          <w:rFonts w:ascii="Times New Roman" w:hAnsi="Times New Roman"/>
          <w:sz w:val="24"/>
          <w:szCs w:val="24"/>
        </w:rPr>
        <w:t xml:space="preserve"> </w:t>
      </w:r>
      <w:r w:rsidRPr="009F5B57">
        <w:rPr>
          <w:rFonts w:ascii="Times New Roman" w:hAnsi="Times New Roman"/>
          <w:sz w:val="24"/>
          <w:szCs w:val="24"/>
        </w:rPr>
        <w:t>para transportar el oxígeno que es un elemento vital en el organismo.”</w:t>
      </w:r>
      <w:r w:rsidR="00A14CC5" w:rsidRPr="009F5B57">
        <w:rPr>
          <w:rFonts w:ascii="Times New Roman" w:hAnsi="Times New Roman"/>
          <w:sz w:val="24"/>
          <w:szCs w:val="24"/>
        </w:rPr>
        <w:t xml:space="preserve"> (OMS, 2011)</w:t>
      </w:r>
    </w:p>
    <w:p w14:paraId="3C737DE0" w14:textId="5DAA076A" w:rsidR="0046565A" w:rsidRPr="009F5B57" w:rsidRDefault="00B85472" w:rsidP="009F5B57">
      <w:pPr>
        <w:pStyle w:val="NormalWeb"/>
        <w:shd w:val="clear" w:color="auto" w:fill="FFFFFF"/>
        <w:spacing w:line="360" w:lineRule="auto"/>
        <w:ind w:firstLine="709"/>
        <w:jc w:val="both"/>
        <w:rPr>
          <w:rFonts w:ascii="Times New Roman" w:hAnsi="Times New Roman"/>
          <w:sz w:val="24"/>
          <w:szCs w:val="24"/>
          <w:lang w:val="es-ES"/>
        </w:rPr>
      </w:pPr>
      <w:r w:rsidRPr="009F5B57">
        <w:rPr>
          <w:rFonts w:ascii="Times New Roman" w:hAnsi="Times New Roman"/>
          <w:sz w:val="24"/>
          <w:szCs w:val="24"/>
        </w:rPr>
        <w:t xml:space="preserve">La anemia es un enfermedad considerada como </w:t>
      </w:r>
      <w:r w:rsidR="0046565A" w:rsidRPr="009F5B57">
        <w:rPr>
          <w:rFonts w:ascii="Times New Roman" w:hAnsi="Times New Roman"/>
          <w:sz w:val="24"/>
          <w:szCs w:val="24"/>
          <w:lang w:val="es-ES"/>
        </w:rPr>
        <w:t>un problema de salud pública</w:t>
      </w:r>
      <w:r w:rsidR="0046565A" w:rsidRPr="009F5B57">
        <w:rPr>
          <w:rFonts w:ascii="Times New Roman" w:hAnsi="Times New Roman"/>
          <w:sz w:val="24"/>
          <w:szCs w:val="24"/>
        </w:rPr>
        <w:t xml:space="preserve"> </w:t>
      </w:r>
      <w:r w:rsidR="003A1483" w:rsidRPr="009F5B57">
        <w:rPr>
          <w:rFonts w:ascii="Times New Roman" w:hAnsi="Times New Roman"/>
          <w:sz w:val="24"/>
          <w:szCs w:val="24"/>
        </w:rPr>
        <w:t>en todo el mundo.</w:t>
      </w:r>
      <w:r w:rsidRPr="009F5B57">
        <w:rPr>
          <w:rFonts w:ascii="Times New Roman" w:hAnsi="Times New Roman"/>
          <w:sz w:val="24"/>
          <w:szCs w:val="24"/>
        </w:rPr>
        <w:t xml:space="preserve"> Actualmente se han descrito alrededor de </w:t>
      </w:r>
      <w:r w:rsidR="001B666C" w:rsidRPr="009F5B57">
        <w:rPr>
          <w:rFonts w:ascii="Times New Roman" w:hAnsi="Times New Roman"/>
          <w:sz w:val="24"/>
          <w:szCs w:val="24"/>
          <w:lang w:val="es-ES"/>
        </w:rPr>
        <w:t xml:space="preserve">1 </w:t>
      </w:r>
      <w:r w:rsidR="0046565A" w:rsidRPr="009F5B57">
        <w:rPr>
          <w:rFonts w:ascii="Times New Roman" w:hAnsi="Times New Roman"/>
          <w:sz w:val="24"/>
          <w:szCs w:val="24"/>
          <w:lang w:val="es-ES"/>
        </w:rPr>
        <w:t>620 millones de personas que</w:t>
      </w:r>
      <w:r w:rsidRPr="009F5B57">
        <w:rPr>
          <w:rFonts w:ascii="Times New Roman" w:hAnsi="Times New Roman"/>
          <w:sz w:val="24"/>
          <w:szCs w:val="24"/>
          <w:lang w:val="es-ES"/>
        </w:rPr>
        <w:t xml:space="preserve"> presentan anemia en cualquier grado,</w:t>
      </w:r>
      <w:r w:rsidR="0046565A" w:rsidRPr="009F5B57">
        <w:rPr>
          <w:rFonts w:ascii="Times New Roman" w:hAnsi="Times New Roman"/>
          <w:sz w:val="24"/>
          <w:szCs w:val="24"/>
          <w:lang w:val="es-ES"/>
        </w:rPr>
        <w:t xml:space="preserve"> </w:t>
      </w:r>
      <w:r w:rsidRPr="009F5B57">
        <w:rPr>
          <w:rFonts w:ascii="Times New Roman" w:hAnsi="Times New Roman"/>
          <w:sz w:val="24"/>
          <w:szCs w:val="24"/>
          <w:lang w:val="es-ES"/>
        </w:rPr>
        <w:t xml:space="preserve">lo que </w:t>
      </w:r>
      <w:r w:rsidR="0046565A" w:rsidRPr="009F5B57">
        <w:rPr>
          <w:rFonts w:ascii="Times New Roman" w:hAnsi="Times New Roman"/>
          <w:sz w:val="24"/>
          <w:szCs w:val="24"/>
          <w:lang w:val="es-ES"/>
        </w:rPr>
        <w:t>corresponde al 24,8</w:t>
      </w:r>
      <w:r w:rsidRPr="009F5B57">
        <w:rPr>
          <w:rFonts w:ascii="Times New Roman" w:hAnsi="Times New Roman"/>
          <w:sz w:val="24"/>
          <w:szCs w:val="24"/>
          <w:lang w:val="es-ES"/>
        </w:rPr>
        <w:t xml:space="preserve"> </w:t>
      </w:r>
      <w:r w:rsidR="0046565A" w:rsidRPr="009F5B57">
        <w:rPr>
          <w:rFonts w:ascii="Times New Roman" w:hAnsi="Times New Roman"/>
          <w:sz w:val="24"/>
          <w:szCs w:val="24"/>
          <w:lang w:val="es-ES"/>
        </w:rPr>
        <w:t>% de la población</w:t>
      </w:r>
      <w:r w:rsidRPr="009F5B57">
        <w:rPr>
          <w:rFonts w:ascii="Times New Roman" w:hAnsi="Times New Roman"/>
          <w:sz w:val="24"/>
          <w:szCs w:val="24"/>
          <w:lang w:val="es-ES"/>
        </w:rPr>
        <w:t xml:space="preserve"> mundial</w:t>
      </w:r>
      <w:r w:rsidR="0046565A" w:rsidRPr="009F5B57">
        <w:rPr>
          <w:rFonts w:ascii="Times New Roman" w:hAnsi="Times New Roman"/>
          <w:sz w:val="24"/>
          <w:szCs w:val="24"/>
          <w:lang w:val="es-ES"/>
        </w:rPr>
        <w:t xml:space="preserve"> </w:t>
      </w:r>
      <w:sdt>
        <w:sdtPr>
          <w:rPr>
            <w:rFonts w:ascii="Times New Roman" w:hAnsi="Times New Roman"/>
            <w:sz w:val="24"/>
            <w:szCs w:val="24"/>
            <w:lang w:val="es-ES"/>
          </w:rPr>
          <w:id w:val="422778794"/>
          <w:citation/>
        </w:sdtPr>
        <w:sdtContent>
          <w:r w:rsidR="0046565A" w:rsidRPr="009F5B57">
            <w:rPr>
              <w:rFonts w:ascii="Times New Roman" w:hAnsi="Times New Roman"/>
              <w:sz w:val="24"/>
              <w:szCs w:val="24"/>
              <w:lang w:val="es-ES"/>
            </w:rPr>
            <w:fldChar w:fldCharType="begin"/>
          </w:r>
          <w:r w:rsidR="0046565A" w:rsidRPr="009F5B57">
            <w:rPr>
              <w:rFonts w:ascii="Times New Roman" w:hAnsi="Times New Roman"/>
              <w:sz w:val="24"/>
              <w:szCs w:val="24"/>
            </w:rPr>
            <w:instrText xml:space="preserve"> CITATION Ben05 \l 1034 </w:instrText>
          </w:r>
          <w:r w:rsidR="0046565A" w:rsidRPr="009F5B57">
            <w:rPr>
              <w:rFonts w:ascii="Times New Roman" w:hAnsi="Times New Roman"/>
              <w:sz w:val="24"/>
              <w:szCs w:val="24"/>
              <w:lang w:val="es-ES"/>
            </w:rPr>
            <w:fldChar w:fldCharType="separate"/>
          </w:r>
          <w:r w:rsidR="0046565A" w:rsidRPr="009F5B57">
            <w:rPr>
              <w:rFonts w:ascii="Times New Roman" w:hAnsi="Times New Roman"/>
              <w:noProof/>
              <w:sz w:val="24"/>
              <w:szCs w:val="24"/>
            </w:rPr>
            <w:t>(Benoist, McLean, Egli , &amp; Cogswell., 2005)</w:t>
          </w:r>
          <w:r w:rsidR="0046565A" w:rsidRPr="009F5B57">
            <w:rPr>
              <w:rFonts w:ascii="Times New Roman" w:hAnsi="Times New Roman"/>
              <w:sz w:val="24"/>
              <w:szCs w:val="24"/>
              <w:lang w:val="es-ES"/>
            </w:rPr>
            <w:fldChar w:fldCharType="end"/>
          </w:r>
        </w:sdtContent>
      </w:sdt>
      <w:r w:rsidR="00513CAC" w:rsidRPr="009F5B57">
        <w:rPr>
          <w:rFonts w:ascii="Times New Roman" w:hAnsi="Times New Roman"/>
          <w:sz w:val="24"/>
          <w:szCs w:val="24"/>
          <w:lang w:val="es-ES"/>
        </w:rPr>
        <w:t xml:space="preserve"> </w:t>
      </w:r>
    </w:p>
    <w:p w14:paraId="05BC1AB2" w14:textId="27F35767" w:rsidR="00F7798C" w:rsidRPr="009F5B57" w:rsidRDefault="00B85472" w:rsidP="009F5B57">
      <w:pPr>
        <w:pStyle w:val="NormalWeb"/>
        <w:shd w:val="clear" w:color="auto" w:fill="FFFFFF"/>
        <w:spacing w:line="360" w:lineRule="auto"/>
        <w:ind w:firstLine="709"/>
        <w:jc w:val="both"/>
        <w:rPr>
          <w:rFonts w:ascii="Times New Roman" w:hAnsi="Times New Roman"/>
          <w:sz w:val="24"/>
          <w:szCs w:val="24"/>
        </w:rPr>
      </w:pPr>
      <w:r w:rsidRPr="009F5B57">
        <w:rPr>
          <w:rFonts w:ascii="Times New Roman" w:hAnsi="Times New Roman"/>
          <w:sz w:val="24"/>
          <w:szCs w:val="24"/>
        </w:rPr>
        <w:lastRenderedPageBreak/>
        <w:t xml:space="preserve">Existen varias causas patológicas </w:t>
      </w:r>
      <w:r w:rsidR="00F7798C" w:rsidRPr="009F5B57">
        <w:rPr>
          <w:rFonts w:ascii="Times New Roman" w:hAnsi="Times New Roman"/>
          <w:sz w:val="24"/>
          <w:szCs w:val="24"/>
        </w:rPr>
        <w:t>de esta enfermedad, sin embargo, se considera que l</w:t>
      </w:r>
      <w:r w:rsidR="0046565A" w:rsidRPr="009F5B57">
        <w:rPr>
          <w:rFonts w:ascii="Times New Roman" w:hAnsi="Times New Roman"/>
          <w:sz w:val="24"/>
          <w:szCs w:val="24"/>
        </w:rPr>
        <w:t>a principal es la deficiencia de hierro debido a una dieta pobre en este mineral. Adicionalmente</w:t>
      </w:r>
      <w:r w:rsidR="00E83EC6" w:rsidRPr="009F5B57">
        <w:rPr>
          <w:rFonts w:ascii="Times New Roman" w:hAnsi="Times New Roman"/>
          <w:sz w:val="24"/>
          <w:szCs w:val="24"/>
        </w:rPr>
        <w:t xml:space="preserve">, </w:t>
      </w:r>
      <w:r w:rsidR="0046565A" w:rsidRPr="009F5B57">
        <w:rPr>
          <w:rFonts w:ascii="Times New Roman" w:hAnsi="Times New Roman"/>
          <w:sz w:val="24"/>
          <w:szCs w:val="24"/>
        </w:rPr>
        <w:t xml:space="preserve">otros factores que pueden ocasionar la anemia son la carencia de micronutrientes </w:t>
      </w:r>
      <w:r w:rsidR="00F7798C" w:rsidRPr="009F5B57">
        <w:rPr>
          <w:rFonts w:ascii="Times New Roman" w:hAnsi="Times New Roman"/>
          <w:sz w:val="24"/>
          <w:szCs w:val="24"/>
        </w:rPr>
        <w:t xml:space="preserve">tales </w:t>
      </w:r>
      <w:r w:rsidR="00C06940">
        <w:rPr>
          <w:rFonts w:ascii="Times New Roman" w:hAnsi="Times New Roman"/>
          <w:sz w:val="24"/>
          <w:szCs w:val="24"/>
        </w:rPr>
        <w:t xml:space="preserve">como la vitamina B12, la vitamina </w:t>
      </w:r>
      <w:r w:rsidR="0046565A" w:rsidRPr="009F5B57">
        <w:rPr>
          <w:rFonts w:ascii="Times New Roman" w:hAnsi="Times New Roman"/>
          <w:sz w:val="24"/>
          <w:szCs w:val="24"/>
        </w:rPr>
        <w:t xml:space="preserve">A o </w:t>
      </w:r>
      <w:r w:rsidRPr="009F5B57">
        <w:rPr>
          <w:rFonts w:ascii="Times New Roman" w:hAnsi="Times New Roman"/>
          <w:sz w:val="24"/>
          <w:szCs w:val="24"/>
        </w:rPr>
        <w:t xml:space="preserve">el </w:t>
      </w:r>
      <w:r w:rsidR="0046565A" w:rsidRPr="009F5B57">
        <w:rPr>
          <w:rFonts w:ascii="Times New Roman" w:hAnsi="Times New Roman"/>
          <w:sz w:val="24"/>
          <w:szCs w:val="24"/>
        </w:rPr>
        <w:t>ácido fólico,</w:t>
      </w:r>
      <w:r w:rsidRPr="009F5B57">
        <w:rPr>
          <w:rFonts w:ascii="Times New Roman" w:hAnsi="Times New Roman"/>
          <w:sz w:val="24"/>
          <w:szCs w:val="24"/>
        </w:rPr>
        <w:t xml:space="preserve"> las</w:t>
      </w:r>
      <w:r w:rsidR="0046565A" w:rsidRPr="009F5B57">
        <w:rPr>
          <w:rFonts w:ascii="Times New Roman" w:hAnsi="Times New Roman"/>
          <w:sz w:val="24"/>
          <w:szCs w:val="24"/>
        </w:rPr>
        <w:t xml:space="preserve"> inflamaciones crónicas o agudas, </w:t>
      </w:r>
      <w:r w:rsidR="001E6591" w:rsidRPr="009F5B57">
        <w:rPr>
          <w:rFonts w:ascii="Times New Roman" w:hAnsi="Times New Roman"/>
          <w:sz w:val="24"/>
          <w:szCs w:val="24"/>
        </w:rPr>
        <w:t>las</w:t>
      </w:r>
      <w:r w:rsidRPr="009F5B57">
        <w:rPr>
          <w:rFonts w:ascii="Times New Roman" w:hAnsi="Times New Roman"/>
          <w:sz w:val="24"/>
          <w:szCs w:val="24"/>
        </w:rPr>
        <w:t xml:space="preserve"> </w:t>
      </w:r>
      <w:r w:rsidR="0046565A" w:rsidRPr="009F5B57">
        <w:rPr>
          <w:rFonts w:ascii="Times New Roman" w:hAnsi="Times New Roman"/>
          <w:sz w:val="24"/>
          <w:szCs w:val="24"/>
        </w:rPr>
        <w:t>infecciones parasitarias</w:t>
      </w:r>
      <w:r w:rsidRPr="009F5B57">
        <w:rPr>
          <w:rFonts w:ascii="Times New Roman" w:hAnsi="Times New Roman"/>
          <w:sz w:val="24"/>
          <w:szCs w:val="24"/>
        </w:rPr>
        <w:t xml:space="preserve"> y algunos </w:t>
      </w:r>
      <w:r w:rsidR="0046565A" w:rsidRPr="009F5B57">
        <w:rPr>
          <w:rFonts w:ascii="Times New Roman" w:hAnsi="Times New Roman"/>
          <w:sz w:val="24"/>
          <w:szCs w:val="24"/>
        </w:rPr>
        <w:t>trastornos hereditarios o adquiridos</w:t>
      </w:r>
      <w:r w:rsidR="00F7798C" w:rsidRPr="009F5B57">
        <w:rPr>
          <w:rFonts w:ascii="Times New Roman" w:hAnsi="Times New Roman"/>
          <w:sz w:val="24"/>
          <w:szCs w:val="24"/>
        </w:rPr>
        <w:t xml:space="preserve"> como lo son la hemofilia y las hemorragias</w:t>
      </w:r>
      <w:r w:rsidR="00A14CC5" w:rsidRPr="009F5B57">
        <w:rPr>
          <w:rFonts w:ascii="Times New Roman" w:hAnsi="Times New Roman"/>
          <w:sz w:val="24"/>
          <w:szCs w:val="24"/>
        </w:rPr>
        <w:t>. (OMS,2011)</w:t>
      </w:r>
      <w:r w:rsidR="00513CAC" w:rsidRPr="009F5B57">
        <w:rPr>
          <w:rFonts w:ascii="Times New Roman" w:hAnsi="Times New Roman"/>
          <w:sz w:val="24"/>
          <w:szCs w:val="24"/>
        </w:rPr>
        <w:t xml:space="preserve"> </w:t>
      </w:r>
    </w:p>
    <w:p w14:paraId="066D68CF" w14:textId="7E2B1EA8" w:rsidR="00A312CF" w:rsidRPr="00C06940" w:rsidRDefault="0046565A" w:rsidP="00C06940">
      <w:pPr>
        <w:pStyle w:val="NormalWeb"/>
        <w:shd w:val="clear" w:color="auto" w:fill="FFFFFF"/>
        <w:spacing w:line="360" w:lineRule="auto"/>
        <w:ind w:firstLine="709"/>
        <w:jc w:val="both"/>
        <w:rPr>
          <w:rFonts w:ascii="Times New Roman" w:hAnsi="Times New Roman"/>
          <w:sz w:val="24"/>
          <w:szCs w:val="24"/>
        </w:rPr>
      </w:pPr>
      <w:r w:rsidRPr="009F5B57">
        <w:rPr>
          <w:rFonts w:ascii="Times New Roman" w:hAnsi="Times New Roman"/>
          <w:sz w:val="24"/>
          <w:szCs w:val="24"/>
          <w:lang w:val="es-ES"/>
        </w:rPr>
        <w:t>Para determinar la presencia de anemia, se analizan los niveles de hemoglobina (</w:t>
      </w:r>
      <w:proofErr w:type="spellStart"/>
      <w:r w:rsidRPr="009F5B57">
        <w:rPr>
          <w:rFonts w:ascii="Times New Roman" w:hAnsi="Times New Roman"/>
          <w:sz w:val="24"/>
          <w:szCs w:val="24"/>
          <w:lang w:val="es-ES"/>
        </w:rPr>
        <w:t>Hb</w:t>
      </w:r>
      <w:proofErr w:type="spellEnd"/>
      <w:r w:rsidRPr="009F5B57">
        <w:rPr>
          <w:rFonts w:ascii="Times New Roman" w:hAnsi="Times New Roman"/>
          <w:sz w:val="24"/>
          <w:szCs w:val="24"/>
          <w:lang w:val="es-ES"/>
        </w:rPr>
        <w:t>)</w:t>
      </w:r>
      <w:r w:rsidR="00B85472" w:rsidRPr="009F5B57">
        <w:rPr>
          <w:rFonts w:ascii="Times New Roman" w:hAnsi="Times New Roman"/>
          <w:sz w:val="24"/>
          <w:szCs w:val="24"/>
          <w:lang w:val="es-ES"/>
        </w:rPr>
        <w:t xml:space="preserve"> en sangre </w:t>
      </w:r>
      <w:r w:rsidRPr="009F5B57">
        <w:rPr>
          <w:rFonts w:ascii="Times New Roman" w:hAnsi="Times New Roman"/>
          <w:sz w:val="24"/>
          <w:szCs w:val="24"/>
          <w:lang w:val="es-ES"/>
        </w:rPr>
        <w:t>.</w:t>
      </w:r>
      <w:r w:rsidR="00F7798C" w:rsidRPr="009F5B57">
        <w:rPr>
          <w:rFonts w:ascii="Times New Roman" w:hAnsi="Times New Roman"/>
          <w:sz w:val="24"/>
          <w:szCs w:val="24"/>
          <w:lang w:val="es-ES"/>
        </w:rPr>
        <w:t xml:space="preserve"> Esta proteína es la encargada del transporte de oxígen</w:t>
      </w:r>
      <w:r w:rsidR="003A1483" w:rsidRPr="009F5B57">
        <w:rPr>
          <w:rFonts w:ascii="Times New Roman" w:hAnsi="Times New Roman"/>
          <w:sz w:val="24"/>
          <w:szCs w:val="24"/>
          <w:lang w:val="es-ES"/>
        </w:rPr>
        <w:t>o de los pulmones a los tejidos</w:t>
      </w:r>
      <w:r w:rsidRPr="009F5B57">
        <w:rPr>
          <w:rFonts w:ascii="Times New Roman" w:hAnsi="Times New Roman"/>
          <w:sz w:val="24"/>
          <w:szCs w:val="24"/>
          <w:lang w:val="es-ES"/>
        </w:rPr>
        <w:t xml:space="preserve"> </w:t>
      </w:r>
      <w:r w:rsidR="00F7798C" w:rsidRPr="009F5B57">
        <w:rPr>
          <w:rFonts w:ascii="Times New Roman" w:hAnsi="Times New Roman"/>
          <w:sz w:val="24"/>
          <w:szCs w:val="24"/>
          <w:lang w:val="es-ES"/>
        </w:rPr>
        <w:t xml:space="preserve">y constituye </w:t>
      </w:r>
      <w:r w:rsidR="00C37681" w:rsidRPr="009F5B57">
        <w:rPr>
          <w:rFonts w:ascii="Times New Roman" w:hAnsi="Times New Roman"/>
          <w:sz w:val="24"/>
          <w:szCs w:val="24"/>
          <w:lang w:val="es-ES"/>
        </w:rPr>
        <w:t xml:space="preserve">casi el 33 % de las proteínas </w:t>
      </w:r>
      <w:proofErr w:type="spellStart"/>
      <w:r w:rsidR="00C37681" w:rsidRPr="009F5B57">
        <w:rPr>
          <w:rFonts w:ascii="Times New Roman" w:hAnsi="Times New Roman"/>
          <w:sz w:val="24"/>
          <w:szCs w:val="24"/>
          <w:lang w:val="es-ES"/>
        </w:rPr>
        <w:t>eritrocitarias</w:t>
      </w:r>
      <w:proofErr w:type="spellEnd"/>
      <w:r w:rsidR="00C37681" w:rsidRPr="009F5B57">
        <w:rPr>
          <w:rFonts w:ascii="Times New Roman" w:hAnsi="Times New Roman"/>
          <w:sz w:val="24"/>
          <w:szCs w:val="24"/>
          <w:lang w:val="es-ES"/>
        </w:rPr>
        <w:t xml:space="preserve"> en suje</w:t>
      </w:r>
      <w:r w:rsidR="001D23E3" w:rsidRPr="009F5B57">
        <w:rPr>
          <w:rFonts w:ascii="Times New Roman" w:hAnsi="Times New Roman"/>
          <w:sz w:val="24"/>
          <w:szCs w:val="24"/>
          <w:lang w:val="es-ES"/>
        </w:rPr>
        <w:t>tos sanos (</w:t>
      </w:r>
      <w:r w:rsidR="001D23E3" w:rsidRPr="009F5B57">
        <w:rPr>
          <w:rFonts w:ascii="Times New Roman" w:hAnsi="Times New Roman"/>
          <w:noProof/>
          <w:sz w:val="24"/>
          <w:szCs w:val="24"/>
        </w:rPr>
        <w:t xml:space="preserve">Hilman R., Boggs D, Thompson A., </w:t>
      </w:r>
      <w:r w:rsidR="00823E23" w:rsidRPr="009F5B57">
        <w:rPr>
          <w:rFonts w:ascii="Times New Roman" w:hAnsi="Times New Roman"/>
          <w:noProof/>
          <w:sz w:val="24"/>
          <w:szCs w:val="24"/>
        </w:rPr>
        <w:t>et al, 1998</w:t>
      </w:r>
      <w:r w:rsidR="00C37681" w:rsidRPr="009F5B57">
        <w:rPr>
          <w:rFonts w:ascii="Times New Roman" w:hAnsi="Times New Roman"/>
          <w:noProof/>
          <w:sz w:val="24"/>
          <w:szCs w:val="24"/>
        </w:rPr>
        <w:t>)</w:t>
      </w:r>
      <w:r w:rsidR="00C37681" w:rsidRPr="009F5B57">
        <w:rPr>
          <w:rFonts w:ascii="Times New Roman" w:hAnsi="Times New Roman"/>
          <w:sz w:val="24"/>
          <w:szCs w:val="24"/>
          <w:lang w:val="es-ES"/>
        </w:rPr>
        <w:t>. Su concentración est</w:t>
      </w:r>
      <w:r w:rsidR="003A1483" w:rsidRPr="009F5B57">
        <w:rPr>
          <w:rFonts w:ascii="Times New Roman" w:hAnsi="Times New Roman"/>
          <w:sz w:val="24"/>
          <w:szCs w:val="24"/>
          <w:lang w:val="es-ES"/>
        </w:rPr>
        <w:t>á relacionada a varios aspectos</w:t>
      </w:r>
      <w:r w:rsidR="00C37681" w:rsidRPr="009F5B57">
        <w:rPr>
          <w:rFonts w:ascii="Times New Roman" w:hAnsi="Times New Roman"/>
          <w:sz w:val="24"/>
          <w:szCs w:val="24"/>
          <w:lang w:val="es-ES"/>
        </w:rPr>
        <w:t xml:space="preserve"> fisiológicos como </w:t>
      </w:r>
      <w:r w:rsidRPr="009F5B57">
        <w:rPr>
          <w:rFonts w:ascii="Times New Roman" w:hAnsi="Times New Roman"/>
          <w:sz w:val="24"/>
          <w:szCs w:val="24"/>
          <w:lang w:val="es-ES"/>
        </w:rPr>
        <w:t xml:space="preserve">lo son: </w:t>
      </w:r>
      <w:r w:rsidR="00C37681" w:rsidRPr="009F5B57">
        <w:rPr>
          <w:rFonts w:ascii="Times New Roman" w:hAnsi="Times New Roman"/>
          <w:sz w:val="24"/>
          <w:szCs w:val="24"/>
          <w:lang w:val="es-ES"/>
        </w:rPr>
        <w:t xml:space="preserve">la </w:t>
      </w:r>
      <w:r w:rsidRPr="009F5B57">
        <w:rPr>
          <w:rFonts w:ascii="Times New Roman" w:hAnsi="Times New Roman"/>
          <w:sz w:val="24"/>
          <w:szCs w:val="24"/>
          <w:lang w:val="es-ES"/>
        </w:rPr>
        <w:t xml:space="preserve">edad, </w:t>
      </w:r>
      <w:r w:rsidR="00C37681" w:rsidRPr="009F5B57">
        <w:rPr>
          <w:rFonts w:ascii="Times New Roman" w:hAnsi="Times New Roman"/>
          <w:sz w:val="24"/>
          <w:szCs w:val="24"/>
          <w:lang w:val="es-ES"/>
        </w:rPr>
        <w:t xml:space="preserve">el </w:t>
      </w:r>
      <w:r w:rsidRPr="009F5B57">
        <w:rPr>
          <w:rFonts w:ascii="Times New Roman" w:hAnsi="Times New Roman"/>
          <w:sz w:val="24"/>
          <w:szCs w:val="24"/>
          <w:lang w:val="es-ES"/>
        </w:rPr>
        <w:t xml:space="preserve">sexo, </w:t>
      </w:r>
      <w:r w:rsidR="00C37681" w:rsidRPr="009F5B57">
        <w:rPr>
          <w:rFonts w:ascii="Times New Roman" w:hAnsi="Times New Roman"/>
          <w:sz w:val="24"/>
          <w:szCs w:val="24"/>
          <w:lang w:val="es-ES"/>
        </w:rPr>
        <w:t xml:space="preserve">el </w:t>
      </w:r>
      <w:r w:rsidRPr="009F5B57">
        <w:rPr>
          <w:rFonts w:ascii="Times New Roman" w:hAnsi="Times New Roman"/>
          <w:sz w:val="24"/>
          <w:szCs w:val="24"/>
          <w:lang w:val="es-ES"/>
        </w:rPr>
        <w:t>estado fisiológico</w:t>
      </w:r>
      <w:r w:rsidR="00C37681" w:rsidRPr="009F5B57">
        <w:rPr>
          <w:rFonts w:ascii="Times New Roman" w:hAnsi="Times New Roman"/>
          <w:sz w:val="24"/>
          <w:szCs w:val="24"/>
          <w:lang w:val="es-ES"/>
        </w:rPr>
        <w:t xml:space="preserve"> del individuo; y ambientales como la </w:t>
      </w:r>
      <w:r w:rsidRPr="009F5B57">
        <w:rPr>
          <w:rFonts w:ascii="Times New Roman" w:hAnsi="Times New Roman"/>
          <w:sz w:val="24"/>
          <w:szCs w:val="24"/>
          <w:lang w:val="es-ES"/>
        </w:rPr>
        <w:t>ubicación geográfica,</w:t>
      </w:r>
      <w:r w:rsidR="00C37681" w:rsidRPr="009F5B57">
        <w:rPr>
          <w:rFonts w:ascii="Times New Roman" w:hAnsi="Times New Roman"/>
          <w:sz w:val="24"/>
          <w:szCs w:val="24"/>
          <w:lang w:val="es-ES"/>
        </w:rPr>
        <w:t xml:space="preserve"> altura, </w:t>
      </w:r>
      <w:r w:rsidRPr="009F5B57">
        <w:rPr>
          <w:rFonts w:ascii="Times New Roman" w:hAnsi="Times New Roman"/>
          <w:sz w:val="24"/>
          <w:szCs w:val="24"/>
          <w:lang w:val="es-ES"/>
        </w:rPr>
        <w:t xml:space="preserve">entre otros. </w:t>
      </w:r>
      <w:r w:rsidRPr="00C06940">
        <w:rPr>
          <w:rFonts w:ascii="Times New Roman" w:hAnsi="Times New Roman"/>
          <w:noProof/>
          <w:sz w:val="24"/>
          <w:szCs w:val="24"/>
        </w:rPr>
        <w:t xml:space="preserve">Como tal, la anemia se considera un trastorno </w:t>
      </w:r>
      <w:r w:rsidR="00164F42" w:rsidRPr="00C06940">
        <w:rPr>
          <w:rFonts w:ascii="Times New Roman" w:hAnsi="Times New Roman"/>
          <w:noProof/>
          <w:sz w:val="24"/>
          <w:szCs w:val="24"/>
        </w:rPr>
        <w:t xml:space="preserve">hematológico que se clasifica en </w:t>
      </w:r>
      <w:r w:rsidRPr="00C06940">
        <w:rPr>
          <w:rFonts w:ascii="Times New Roman" w:hAnsi="Times New Roman"/>
          <w:noProof/>
          <w:sz w:val="24"/>
          <w:szCs w:val="24"/>
        </w:rPr>
        <w:t>varios tipos</w:t>
      </w:r>
      <w:r w:rsidR="00164F42" w:rsidRPr="00C06940">
        <w:rPr>
          <w:rFonts w:ascii="Times New Roman" w:hAnsi="Times New Roman"/>
          <w:noProof/>
          <w:sz w:val="24"/>
          <w:szCs w:val="24"/>
        </w:rPr>
        <w:t xml:space="preserve">: </w:t>
      </w:r>
      <w:r w:rsidRPr="00C06940">
        <w:rPr>
          <w:rFonts w:ascii="Times New Roman" w:hAnsi="Times New Roman"/>
          <w:noProof/>
          <w:sz w:val="24"/>
          <w:szCs w:val="24"/>
        </w:rPr>
        <w:t>por deficiencia de hierro, perniciosa, aplásica y hemolítica.</w:t>
      </w:r>
      <w:r w:rsidR="007760C0" w:rsidRPr="00C06940">
        <w:rPr>
          <w:rFonts w:ascii="Times New Roman" w:hAnsi="Times New Roman"/>
          <w:noProof/>
          <w:sz w:val="24"/>
          <w:szCs w:val="24"/>
        </w:rPr>
        <w:t xml:space="preserve"> </w:t>
      </w:r>
      <w:r w:rsidR="003B2E43" w:rsidRPr="00C06940">
        <w:rPr>
          <w:rFonts w:ascii="Times New Roman" w:hAnsi="Times New Roman"/>
          <w:noProof/>
          <w:sz w:val="24"/>
          <w:szCs w:val="24"/>
        </w:rPr>
        <w:t>Cabe mencionar que en este estudio se aborda únicamente la anemia ocasionada por la  deficiencia en la ingesta de hierro ya que los datos recaudados en la encuesta de ENSANUT 2012 pertenecen a este tipo de anemia</w:t>
      </w:r>
      <w:r w:rsidR="003B2E43" w:rsidRPr="009F5B57">
        <w:rPr>
          <w:rFonts w:ascii="Times New Roman" w:hAnsi="Times New Roman"/>
          <w:lang w:val="es-ES"/>
        </w:rPr>
        <w:t xml:space="preserve">. </w:t>
      </w:r>
    </w:p>
    <w:p w14:paraId="248AB04F" w14:textId="47E98FBE" w:rsidR="0046565A" w:rsidRPr="00C06940" w:rsidRDefault="00BB6FF5" w:rsidP="00C06940">
      <w:pPr>
        <w:spacing w:line="360" w:lineRule="auto"/>
        <w:ind w:left="567"/>
        <w:rPr>
          <w:rFonts w:ascii="Times New Roman" w:hAnsi="Times New Roman" w:cs="Times New Roman"/>
          <w:i/>
        </w:rPr>
      </w:pPr>
      <w:r w:rsidRPr="006019EE">
        <w:rPr>
          <w:rFonts w:ascii="Times New Roman" w:hAnsi="Times New Roman" w:cs="Times New Roman"/>
          <w:i/>
        </w:rPr>
        <w:t xml:space="preserve">2.2 </w:t>
      </w:r>
      <w:r w:rsidR="0046565A" w:rsidRPr="006019EE">
        <w:rPr>
          <w:rFonts w:ascii="Times New Roman" w:hAnsi="Times New Roman" w:cs="Times New Roman"/>
          <w:i/>
        </w:rPr>
        <w:t>Consecuencias fisiológicas de la anemia en niños y adolescentes en edad escolar</w:t>
      </w:r>
      <w:r w:rsidRPr="006019EE">
        <w:rPr>
          <w:rFonts w:ascii="Times New Roman" w:hAnsi="Times New Roman" w:cs="Times New Roman"/>
          <w:i/>
        </w:rPr>
        <w:t>.</w:t>
      </w:r>
    </w:p>
    <w:p w14:paraId="779A9A9E" w14:textId="224DFB9F" w:rsidR="0046565A" w:rsidRPr="009F5B57" w:rsidRDefault="00F94958" w:rsidP="00947664">
      <w:pPr>
        <w:pStyle w:val="NormalWeb"/>
        <w:spacing w:line="360" w:lineRule="auto"/>
        <w:jc w:val="both"/>
        <w:rPr>
          <w:rFonts w:ascii="Times New Roman" w:hAnsi="Times New Roman"/>
          <w:sz w:val="24"/>
          <w:szCs w:val="24"/>
        </w:rPr>
      </w:pPr>
      <w:r w:rsidRPr="009F5B57">
        <w:rPr>
          <w:rFonts w:ascii="Times New Roman" w:hAnsi="Times New Roman"/>
          <w:sz w:val="24"/>
          <w:szCs w:val="24"/>
          <w:lang w:val="es-ES"/>
        </w:rPr>
        <w:t>Particularmente, du</w:t>
      </w:r>
      <w:r w:rsidR="0046565A" w:rsidRPr="009F5B57">
        <w:rPr>
          <w:rFonts w:ascii="Times New Roman" w:hAnsi="Times New Roman"/>
          <w:sz w:val="24"/>
          <w:szCs w:val="24"/>
          <w:lang w:val="es-ES"/>
        </w:rPr>
        <w:t xml:space="preserve">rante los primeros dos años de la vida, </w:t>
      </w:r>
      <w:r w:rsidRPr="009F5B57">
        <w:rPr>
          <w:rFonts w:ascii="Times New Roman" w:hAnsi="Times New Roman"/>
          <w:sz w:val="24"/>
          <w:szCs w:val="24"/>
          <w:lang w:val="es-ES"/>
        </w:rPr>
        <w:t xml:space="preserve">la anemia </w:t>
      </w:r>
      <w:proofErr w:type="spellStart"/>
      <w:r w:rsidRPr="009F5B57">
        <w:rPr>
          <w:rFonts w:ascii="Times New Roman" w:hAnsi="Times New Roman"/>
          <w:sz w:val="24"/>
          <w:szCs w:val="24"/>
          <w:lang w:val="es-ES"/>
        </w:rPr>
        <w:t>f</w:t>
      </w:r>
      <w:r w:rsidR="004B1392" w:rsidRPr="009F5B57">
        <w:rPr>
          <w:rFonts w:ascii="Times New Roman" w:hAnsi="Times New Roman"/>
          <w:sz w:val="24"/>
          <w:szCs w:val="24"/>
          <w:lang w:val="es-ES"/>
        </w:rPr>
        <w:t>erropriva</w:t>
      </w:r>
      <w:proofErr w:type="spellEnd"/>
      <w:r w:rsidRPr="009F5B57">
        <w:rPr>
          <w:rFonts w:ascii="Times New Roman" w:hAnsi="Times New Roman"/>
          <w:sz w:val="24"/>
          <w:szCs w:val="24"/>
          <w:lang w:val="es-ES"/>
        </w:rPr>
        <w:t xml:space="preserve"> incrementa </w:t>
      </w:r>
      <w:r w:rsidR="0046565A" w:rsidRPr="009F5B57">
        <w:rPr>
          <w:rFonts w:ascii="Times New Roman" w:hAnsi="Times New Roman"/>
          <w:sz w:val="24"/>
          <w:szCs w:val="24"/>
          <w:lang w:val="es-ES"/>
        </w:rPr>
        <w:t xml:space="preserve">el riesgo de </w:t>
      </w:r>
      <w:r w:rsidRPr="009F5B57">
        <w:rPr>
          <w:rFonts w:ascii="Times New Roman" w:hAnsi="Times New Roman"/>
          <w:sz w:val="24"/>
          <w:szCs w:val="24"/>
          <w:lang w:val="es-ES"/>
        </w:rPr>
        <w:t>alteracio</w:t>
      </w:r>
      <w:r w:rsidR="0046565A" w:rsidRPr="009F5B57">
        <w:rPr>
          <w:rFonts w:ascii="Times New Roman" w:hAnsi="Times New Roman"/>
          <w:sz w:val="24"/>
          <w:szCs w:val="24"/>
          <w:lang w:val="es-ES"/>
        </w:rPr>
        <w:t>n</w:t>
      </w:r>
      <w:r w:rsidRPr="009F5B57">
        <w:rPr>
          <w:rFonts w:ascii="Times New Roman" w:hAnsi="Times New Roman"/>
          <w:sz w:val="24"/>
          <w:szCs w:val="24"/>
          <w:lang w:val="es-ES"/>
        </w:rPr>
        <w:t>es</w:t>
      </w:r>
      <w:r w:rsidR="0046565A" w:rsidRPr="009F5B57">
        <w:rPr>
          <w:rFonts w:ascii="Times New Roman" w:hAnsi="Times New Roman"/>
          <w:sz w:val="24"/>
          <w:szCs w:val="24"/>
          <w:lang w:val="es-ES"/>
        </w:rPr>
        <w:t xml:space="preserve"> func</w:t>
      </w:r>
      <w:r w:rsidR="00BB6FF5" w:rsidRPr="009F5B57">
        <w:rPr>
          <w:rFonts w:ascii="Times New Roman" w:hAnsi="Times New Roman"/>
          <w:sz w:val="24"/>
          <w:szCs w:val="24"/>
          <w:lang w:val="es-ES"/>
        </w:rPr>
        <w:t>ional</w:t>
      </w:r>
      <w:r w:rsidRPr="009F5B57">
        <w:rPr>
          <w:rFonts w:ascii="Times New Roman" w:hAnsi="Times New Roman"/>
          <w:sz w:val="24"/>
          <w:szCs w:val="24"/>
          <w:lang w:val="es-ES"/>
        </w:rPr>
        <w:t xml:space="preserve">es, principalmente </w:t>
      </w:r>
      <w:r w:rsidR="003A1483" w:rsidRPr="009F5B57">
        <w:rPr>
          <w:rFonts w:ascii="Times New Roman" w:hAnsi="Times New Roman"/>
          <w:sz w:val="24"/>
          <w:szCs w:val="24"/>
          <w:lang w:val="es-ES"/>
        </w:rPr>
        <w:t>a nivel cerebral puesto que e</w:t>
      </w:r>
      <w:r w:rsidR="0011584B" w:rsidRPr="009F5B57">
        <w:rPr>
          <w:rFonts w:ascii="Times New Roman" w:hAnsi="Times New Roman"/>
          <w:sz w:val="24"/>
          <w:szCs w:val="24"/>
          <w:lang w:val="es-ES"/>
        </w:rPr>
        <w:t>ste órgano presenta c</w:t>
      </w:r>
      <w:r w:rsidR="0046565A" w:rsidRPr="009F5B57">
        <w:rPr>
          <w:rFonts w:ascii="Times New Roman" w:hAnsi="Times New Roman"/>
          <w:sz w:val="24"/>
          <w:szCs w:val="24"/>
          <w:lang w:val="es-ES"/>
        </w:rPr>
        <w:t>ambios anatómicos y bioquímicos acelerados que aumentan su vulnerabilidad</w:t>
      </w:r>
      <w:r w:rsidR="0011584B" w:rsidRPr="009F5B57">
        <w:rPr>
          <w:rFonts w:ascii="Times New Roman" w:hAnsi="Times New Roman"/>
          <w:sz w:val="24"/>
          <w:szCs w:val="24"/>
          <w:lang w:val="es-ES"/>
        </w:rPr>
        <w:t xml:space="preserve">. Durante el primer año de vida estos cambios se </w:t>
      </w:r>
      <w:r w:rsidR="0046565A" w:rsidRPr="009F5B57">
        <w:rPr>
          <w:rFonts w:ascii="Times New Roman" w:hAnsi="Times New Roman"/>
          <w:sz w:val="24"/>
          <w:szCs w:val="24"/>
          <w:lang w:val="es-ES"/>
        </w:rPr>
        <w:t>experimentan a nivel de la</w:t>
      </w:r>
      <w:r w:rsidR="005010ED" w:rsidRPr="009F5B57">
        <w:rPr>
          <w:rFonts w:ascii="Times New Roman" w:hAnsi="Times New Roman"/>
          <w:sz w:val="24"/>
          <w:szCs w:val="24"/>
          <w:lang w:val="es-ES"/>
        </w:rPr>
        <w:t xml:space="preserve"> corteza auditiva, mientras que</w:t>
      </w:r>
      <w:r w:rsidR="0046565A" w:rsidRPr="009F5B57">
        <w:rPr>
          <w:rFonts w:ascii="Times New Roman" w:hAnsi="Times New Roman"/>
          <w:sz w:val="24"/>
          <w:szCs w:val="24"/>
          <w:lang w:val="es-ES"/>
        </w:rPr>
        <w:t xml:space="preserve"> en la corteza frontal ocurren hacia el final del segundo año</w:t>
      </w:r>
      <w:r w:rsidR="00C90FE2" w:rsidRPr="009F5B57">
        <w:rPr>
          <w:rFonts w:ascii="Times New Roman" w:hAnsi="Times New Roman"/>
          <w:sz w:val="24"/>
          <w:szCs w:val="24"/>
          <w:lang w:val="es-ES"/>
        </w:rPr>
        <w:t xml:space="preserve">. Así </w:t>
      </w:r>
      <w:r w:rsidR="0011584B" w:rsidRPr="009F5B57">
        <w:rPr>
          <w:rFonts w:ascii="Times New Roman" w:hAnsi="Times New Roman"/>
          <w:sz w:val="24"/>
          <w:szCs w:val="24"/>
          <w:lang w:val="es-ES"/>
        </w:rPr>
        <w:t>mismo, l</w:t>
      </w:r>
      <w:r w:rsidR="0046565A" w:rsidRPr="009F5B57">
        <w:rPr>
          <w:rFonts w:ascii="Times New Roman" w:hAnsi="Times New Roman"/>
          <w:sz w:val="24"/>
          <w:szCs w:val="24"/>
        </w:rPr>
        <w:t>a deficiencia de hierro afecta la regulación y la conducción de neurotransmisores como son la serotonina, la dopamina y el ác</w:t>
      </w:r>
      <w:r w:rsidR="0011584B" w:rsidRPr="009F5B57">
        <w:rPr>
          <w:rFonts w:ascii="Times New Roman" w:hAnsi="Times New Roman"/>
          <w:sz w:val="24"/>
          <w:szCs w:val="24"/>
        </w:rPr>
        <w:t>ido gamma amino butírico (GABA); involucrados en el correcto desarrollo neuromotor del niño</w:t>
      </w:r>
      <w:r w:rsidR="00513CAC" w:rsidRPr="009F5B57">
        <w:rPr>
          <w:rFonts w:ascii="Times New Roman" w:hAnsi="Times New Roman"/>
          <w:sz w:val="24"/>
          <w:szCs w:val="24"/>
        </w:rPr>
        <w:t>.</w:t>
      </w:r>
      <w:r w:rsidR="0011584B" w:rsidRPr="009F5B57">
        <w:rPr>
          <w:rFonts w:ascii="Times New Roman" w:hAnsi="Times New Roman"/>
          <w:sz w:val="24"/>
          <w:szCs w:val="24"/>
        </w:rPr>
        <w:t xml:space="preserve"> </w:t>
      </w:r>
      <w:sdt>
        <w:sdtPr>
          <w:rPr>
            <w:rFonts w:ascii="Times New Roman" w:hAnsi="Times New Roman"/>
            <w:noProof/>
            <w:sz w:val="24"/>
            <w:szCs w:val="24"/>
          </w:rPr>
          <w:id w:val="-1039046723"/>
          <w:citation/>
        </w:sdtPr>
        <w:sdtContent>
          <w:r w:rsidR="0046565A" w:rsidRPr="009F5B57">
            <w:rPr>
              <w:rFonts w:ascii="Times New Roman" w:hAnsi="Times New Roman"/>
              <w:noProof/>
              <w:sz w:val="24"/>
              <w:szCs w:val="24"/>
            </w:rPr>
            <w:fldChar w:fldCharType="begin"/>
          </w:r>
          <w:r w:rsidR="0046565A" w:rsidRPr="009F5B57">
            <w:rPr>
              <w:rFonts w:ascii="Times New Roman" w:hAnsi="Times New Roman"/>
              <w:noProof/>
              <w:sz w:val="24"/>
              <w:szCs w:val="24"/>
            </w:rPr>
            <w:instrText xml:space="preserve"> CITATION Gil07 \l 1034 </w:instrText>
          </w:r>
          <w:r w:rsidR="0046565A" w:rsidRPr="009F5B57">
            <w:rPr>
              <w:rFonts w:ascii="Times New Roman" w:hAnsi="Times New Roman"/>
              <w:noProof/>
              <w:sz w:val="24"/>
              <w:szCs w:val="24"/>
            </w:rPr>
            <w:fldChar w:fldCharType="separate"/>
          </w:r>
          <w:r w:rsidR="0046565A" w:rsidRPr="009F5B57">
            <w:rPr>
              <w:rFonts w:ascii="Times New Roman" w:hAnsi="Times New Roman"/>
              <w:noProof/>
              <w:sz w:val="24"/>
              <w:szCs w:val="24"/>
            </w:rPr>
            <w:t xml:space="preserve"> (Gilda G, 2007)</w:t>
          </w:r>
          <w:r w:rsidR="0046565A" w:rsidRPr="009F5B57">
            <w:rPr>
              <w:rFonts w:ascii="Times New Roman" w:hAnsi="Times New Roman"/>
              <w:noProof/>
              <w:sz w:val="24"/>
              <w:szCs w:val="24"/>
            </w:rPr>
            <w:fldChar w:fldCharType="end"/>
          </w:r>
        </w:sdtContent>
      </w:sdt>
      <w:r w:rsidR="00513CAC" w:rsidRPr="009F5B57">
        <w:rPr>
          <w:rFonts w:ascii="Times New Roman" w:hAnsi="Times New Roman"/>
          <w:sz w:val="24"/>
          <w:szCs w:val="24"/>
        </w:rPr>
        <w:t xml:space="preserve"> </w:t>
      </w:r>
    </w:p>
    <w:p w14:paraId="0F7C4CC6" w14:textId="56575FD9" w:rsidR="00761E5E" w:rsidRPr="009F5B57" w:rsidRDefault="0046565A" w:rsidP="00472743">
      <w:pPr>
        <w:spacing w:line="360" w:lineRule="auto"/>
        <w:ind w:firstLine="709"/>
        <w:jc w:val="both"/>
        <w:rPr>
          <w:rFonts w:ascii="Times New Roman" w:hAnsi="Times New Roman" w:cs="Times New Roman"/>
          <w:noProof/>
        </w:rPr>
      </w:pPr>
      <w:r w:rsidRPr="009F5B57">
        <w:rPr>
          <w:rFonts w:ascii="Times New Roman" w:hAnsi="Times New Roman" w:cs="Times New Roman"/>
        </w:rPr>
        <w:t>Dependiendo del grado de déficit férrico se pueden observar manifestaciones como palidez de piel y mucosas, astenia, taquipnea, taquicardia</w:t>
      </w:r>
      <w:r w:rsidR="00C06940" w:rsidRPr="00C06940">
        <w:rPr>
          <w:rFonts w:ascii="Times New Roman" w:hAnsi="Times New Roman" w:cs="Times New Roman"/>
        </w:rPr>
        <w:t xml:space="preserve"> </w:t>
      </w:r>
      <w:r w:rsidR="00C06940" w:rsidRPr="009F5B57">
        <w:rPr>
          <w:rFonts w:ascii="Times New Roman" w:hAnsi="Times New Roman" w:cs="Times New Roman"/>
        </w:rPr>
        <w:t>ciclos menstruales anovulatorios, entre otros.</w:t>
      </w:r>
      <w:r w:rsidRPr="009F5B57">
        <w:rPr>
          <w:rFonts w:ascii="Times New Roman" w:hAnsi="Times New Roman" w:cs="Times New Roman"/>
        </w:rPr>
        <w:t xml:space="preserve"> </w:t>
      </w:r>
      <w:r w:rsidR="00761E5E" w:rsidRPr="009F5B57">
        <w:rPr>
          <w:rFonts w:ascii="Times New Roman" w:hAnsi="Times New Roman" w:cs="Times New Roman"/>
          <w:noProof/>
        </w:rPr>
        <w:t>(Guarderas C, 2994)</w:t>
      </w:r>
    </w:p>
    <w:p w14:paraId="2E9A1445" w14:textId="77777777" w:rsidR="00761E5E" w:rsidRPr="009F5B57" w:rsidRDefault="00761E5E" w:rsidP="009F5B57">
      <w:pPr>
        <w:spacing w:line="360" w:lineRule="auto"/>
        <w:jc w:val="both"/>
        <w:rPr>
          <w:rFonts w:ascii="Times New Roman" w:hAnsi="Times New Roman" w:cs="Times New Roman"/>
          <w:noProof/>
        </w:rPr>
      </w:pPr>
    </w:p>
    <w:p w14:paraId="57FDCDF0" w14:textId="40AD8454" w:rsidR="0046565A" w:rsidRPr="009F5B57" w:rsidRDefault="0046565A" w:rsidP="009F5B57">
      <w:pPr>
        <w:spacing w:line="360" w:lineRule="auto"/>
        <w:ind w:firstLine="709"/>
        <w:jc w:val="both"/>
        <w:rPr>
          <w:rFonts w:ascii="Times New Roman" w:hAnsi="Times New Roman" w:cs="Times New Roman"/>
        </w:rPr>
      </w:pPr>
      <w:r w:rsidRPr="009F5B57">
        <w:rPr>
          <w:rFonts w:ascii="Times New Roman" w:hAnsi="Times New Roman" w:cs="Times New Roman"/>
        </w:rPr>
        <w:lastRenderedPageBreak/>
        <w:t xml:space="preserve">Otros de los riesgos de la deficiencia de hierro son </w:t>
      </w:r>
      <w:r w:rsidR="0011584B" w:rsidRPr="009F5B57">
        <w:rPr>
          <w:rFonts w:ascii="Times New Roman" w:hAnsi="Times New Roman" w:cs="Times New Roman"/>
        </w:rPr>
        <w:t>su</w:t>
      </w:r>
      <w:r w:rsidRPr="009F5B57">
        <w:rPr>
          <w:rFonts w:ascii="Times New Roman" w:hAnsi="Times New Roman" w:cs="Times New Roman"/>
        </w:rPr>
        <w:t xml:space="preserve"> </w:t>
      </w:r>
      <w:r w:rsidR="0011584B" w:rsidRPr="009F5B57">
        <w:rPr>
          <w:rFonts w:ascii="Times New Roman" w:hAnsi="Times New Roman" w:cs="Times New Roman"/>
        </w:rPr>
        <w:t xml:space="preserve">elevada </w:t>
      </w:r>
      <w:r w:rsidRPr="009F5B57">
        <w:rPr>
          <w:rFonts w:ascii="Times New Roman" w:hAnsi="Times New Roman" w:cs="Times New Roman"/>
        </w:rPr>
        <w:t xml:space="preserve">morbilidad y mortalidad, </w:t>
      </w:r>
      <w:r w:rsidR="0011584B" w:rsidRPr="009F5B57">
        <w:rPr>
          <w:rFonts w:ascii="Times New Roman" w:hAnsi="Times New Roman" w:cs="Times New Roman"/>
        </w:rPr>
        <w:t xml:space="preserve">en la población infantil principalmente. Esta deficiencia se ha involucrado con el compromiso del </w:t>
      </w:r>
      <w:r w:rsidRPr="009F5B57">
        <w:rPr>
          <w:rFonts w:ascii="Times New Roman" w:hAnsi="Times New Roman" w:cs="Times New Roman"/>
        </w:rPr>
        <w:t>crecimiento puberal</w:t>
      </w:r>
      <w:r w:rsidR="005010ED" w:rsidRPr="009F5B57">
        <w:rPr>
          <w:rFonts w:ascii="Times New Roman" w:hAnsi="Times New Roman" w:cs="Times New Roman"/>
        </w:rPr>
        <w:t xml:space="preserve"> y con</w:t>
      </w:r>
      <w:r w:rsidR="0011584B" w:rsidRPr="009F5B57">
        <w:rPr>
          <w:rFonts w:ascii="Times New Roman" w:hAnsi="Times New Roman" w:cs="Times New Roman"/>
        </w:rPr>
        <w:t xml:space="preserve"> la </w:t>
      </w:r>
      <w:r w:rsidRPr="009F5B57">
        <w:rPr>
          <w:rFonts w:ascii="Times New Roman" w:hAnsi="Times New Roman" w:cs="Times New Roman"/>
        </w:rPr>
        <w:t>reducción en las habilidades cognoscitivas</w:t>
      </w:r>
      <w:r w:rsidR="005010ED" w:rsidRPr="009F5B57">
        <w:rPr>
          <w:rFonts w:ascii="Times New Roman" w:hAnsi="Times New Roman" w:cs="Times New Roman"/>
        </w:rPr>
        <w:t>,</w:t>
      </w:r>
      <w:r w:rsidRPr="009F5B57">
        <w:rPr>
          <w:rFonts w:ascii="Times New Roman" w:hAnsi="Times New Roman" w:cs="Times New Roman"/>
        </w:rPr>
        <w:t xml:space="preserve"> tanto en niños</w:t>
      </w:r>
      <w:r w:rsidR="00A02F95" w:rsidRPr="009F5B57">
        <w:rPr>
          <w:rFonts w:ascii="Times New Roman" w:hAnsi="Times New Roman" w:cs="Times New Roman"/>
        </w:rPr>
        <w:t xml:space="preserve"> en edad preescolar</w:t>
      </w:r>
      <w:r w:rsidRPr="009F5B57">
        <w:rPr>
          <w:rFonts w:ascii="Times New Roman" w:hAnsi="Times New Roman" w:cs="Times New Roman"/>
        </w:rPr>
        <w:t xml:space="preserve"> y jóvenes en edad escola</w:t>
      </w:r>
      <w:r w:rsidR="00C90FE2" w:rsidRPr="009F5B57">
        <w:rPr>
          <w:rFonts w:ascii="Times New Roman" w:hAnsi="Times New Roman" w:cs="Times New Roman"/>
        </w:rPr>
        <w:t>r, lo que a la larga genera que</w:t>
      </w:r>
      <w:r w:rsidRPr="009F5B57">
        <w:rPr>
          <w:rFonts w:ascii="Times New Roman" w:hAnsi="Times New Roman" w:cs="Times New Roman"/>
        </w:rPr>
        <w:t xml:space="preserve"> no se tenga el aprovechamiento adecuado en cuestión de educación. </w:t>
      </w:r>
      <w:r w:rsidR="00227758" w:rsidRPr="009F5B57">
        <w:rPr>
          <w:rFonts w:ascii="Times New Roman" w:hAnsi="Times New Roman" w:cs="Times New Roman"/>
        </w:rPr>
        <w:t xml:space="preserve">Prueba de esto se encuentra en el </w:t>
      </w:r>
      <w:r w:rsidR="00191C3B" w:rsidRPr="009F5B57">
        <w:rPr>
          <w:rFonts w:ascii="Times New Roman" w:hAnsi="Times New Roman" w:cs="Times New Roman"/>
        </w:rPr>
        <w:t>estudio</w:t>
      </w:r>
      <w:r w:rsidR="00227758" w:rsidRPr="009F5B57">
        <w:rPr>
          <w:rFonts w:ascii="Times New Roman" w:hAnsi="Times New Roman" w:cs="Times New Roman"/>
        </w:rPr>
        <w:t xml:space="preserve"> titulado </w:t>
      </w:r>
      <w:r w:rsidR="002C39C3" w:rsidRPr="009F5B57">
        <w:rPr>
          <w:rFonts w:ascii="Times New Roman" w:hAnsi="Times New Roman" w:cs="Times New Roman"/>
        </w:rPr>
        <w:t>“</w:t>
      </w:r>
      <w:r w:rsidR="00227758" w:rsidRPr="009F5B57">
        <w:rPr>
          <w:rFonts w:ascii="Times New Roman" w:hAnsi="Times New Roman" w:cs="Times New Roman"/>
          <w:lang w:val="es-ES"/>
        </w:rPr>
        <w:t>Impacto Funcional deletéreo de la anemia en mujeres adolescentes en edad escolar</w:t>
      </w:r>
      <w:r w:rsidR="002C39C3" w:rsidRPr="009F5B57">
        <w:rPr>
          <w:rFonts w:ascii="Times New Roman" w:hAnsi="Times New Roman" w:cs="Times New Roman"/>
          <w:lang w:val="es-ES"/>
        </w:rPr>
        <w:t>”</w:t>
      </w:r>
      <w:r w:rsidR="00191C3B" w:rsidRPr="009F5B57">
        <w:rPr>
          <w:rFonts w:ascii="Times New Roman" w:hAnsi="Times New Roman" w:cs="Times New Roman"/>
          <w:lang w:val="es-ES"/>
        </w:rPr>
        <w:t xml:space="preserve"> </w:t>
      </w:r>
      <w:r w:rsidR="002C39C3" w:rsidRPr="009F5B57">
        <w:rPr>
          <w:rFonts w:ascii="Times New Roman" w:hAnsi="Times New Roman" w:cs="Times New Roman"/>
          <w:lang w:val="es-ES"/>
        </w:rPr>
        <w:t>(</w:t>
      </w:r>
      <w:r w:rsidR="00761E5E" w:rsidRPr="009F5B57">
        <w:rPr>
          <w:rFonts w:ascii="Times New Roman" w:hAnsi="Times New Roman" w:cs="Times New Roman"/>
        </w:rPr>
        <w:t xml:space="preserve">A. </w:t>
      </w:r>
      <w:proofErr w:type="spellStart"/>
      <w:r w:rsidR="00761E5E" w:rsidRPr="009F5B57">
        <w:rPr>
          <w:rFonts w:ascii="Times New Roman" w:hAnsi="Times New Roman" w:cs="Times New Roman"/>
        </w:rPr>
        <w:t>Sen</w:t>
      </w:r>
      <w:proofErr w:type="spellEnd"/>
      <w:r w:rsidR="00761E5E" w:rsidRPr="009F5B57">
        <w:rPr>
          <w:rFonts w:ascii="Times New Roman" w:hAnsi="Times New Roman" w:cs="Times New Roman"/>
        </w:rPr>
        <w:t xml:space="preserve"> y SJ . </w:t>
      </w:r>
      <w:proofErr w:type="spellStart"/>
      <w:r w:rsidR="00761E5E" w:rsidRPr="009F5B57">
        <w:rPr>
          <w:rFonts w:ascii="Times New Roman" w:hAnsi="Times New Roman" w:cs="Times New Roman"/>
        </w:rPr>
        <w:t>Kanani</w:t>
      </w:r>
      <w:proofErr w:type="spellEnd"/>
      <w:r w:rsidR="00761E5E" w:rsidRPr="009F5B57">
        <w:rPr>
          <w:rFonts w:ascii="Times New Roman" w:hAnsi="Times New Roman" w:cs="Times New Roman"/>
        </w:rPr>
        <w:t>, 2009</w:t>
      </w:r>
      <w:r w:rsidR="002C39C3" w:rsidRPr="009F5B57">
        <w:rPr>
          <w:rFonts w:ascii="Times New Roman" w:hAnsi="Times New Roman" w:cs="Times New Roman"/>
        </w:rPr>
        <w:t xml:space="preserve">)  en el cual se observa que </w:t>
      </w:r>
      <w:r w:rsidR="00191C3B" w:rsidRPr="009F5B57">
        <w:rPr>
          <w:rFonts w:ascii="Times New Roman" w:hAnsi="Times New Roman" w:cs="Times New Roman"/>
          <w:lang w:val="es-ES"/>
        </w:rPr>
        <w:t>niños en edad preescolar</w:t>
      </w:r>
      <w:r w:rsidR="002C39C3" w:rsidRPr="009F5B57">
        <w:rPr>
          <w:rFonts w:ascii="Times New Roman" w:hAnsi="Times New Roman" w:cs="Times New Roman"/>
          <w:lang w:val="es-ES"/>
        </w:rPr>
        <w:t xml:space="preserve"> con </w:t>
      </w:r>
      <w:r w:rsidR="00191C3B" w:rsidRPr="009F5B57">
        <w:rPr>
          <w:rFonts w:ascii="Times New Roman" w:hAnsi="Times New Roman" w:cs="Times New Roman"/>
          <w:lang w:val="es-ES"/>
        </w:rPr>
        <w:t xml:space="preserve">deficiencia de hierro </w:t>
      </w:r>
      <w:r w:rsidR="002C39C3" w:rsidRPr="009F5B57">
        <w:rPr>
          <w:rFonts w:ascii="Times New Roman" w:hAnsi="Times New Roman" w:cs="Times New Roman"/>
          <w:lang w:val="es-ES"/>
        </w:rPr>
        <w:t xml:space="preserve">presentan </w:t>
      </w:r>
      <w:r w:rsidR="00191C3B" w:rsidRPr="009F5B57">
        <w:rPr>
          <w:rFonts w:ascii="Times New Roman" w:hAnsi="Times New Roman" w:cs="Times New Roman"/>
          <w:lang w:val="es-ES"/>
        </w:rPr>
        <w:t xml:space="preserve">resultados </w:t>
      </w:r>
      <w:r w:rsidR="005010ED" w:rsidRPr="009F5B57">
        <w:rPr>
          <w:rFonts w:ascii="Times New Roman" w:hAnsi="Times New Roman" w:cs="Times New Roman"/>
          <w:lang w:val="es-ES"/>
        </w:rPr>
        <w:t xml:space="preserve">disminuidos </w:t>
      </w:r>
      <w:r w:rsidR="00513CAC" w:rsidRPr="009F5B57">
        <w:rPr>
          <w:rFonts w:ascii="Times New Roman" w:hAnsi="Times New Roman" w:cs="Times New Roman"/>
          <w:lang w:val="es-ES"/>
        </w:rPr>
        <w:t xml:space="preserve">en las pruebas psicomotoras. </w:t>
      </w:r>
    </w:p>
    <w:p w14:paraId="3ED24E26" w14:textId="77777777" w:rsidR="0046565A" w:rsidRPr="009F5B57" w:rsidRDefault="0046565A" w:rsidP="009F5B57">
      <w:pPr>
        <w:spacing w:line="360" w:lineRule="auto"/>
        <w:jc w:val="both"/>
        <w:rPr>
          <w:rFonts w:ascii="Times New Roman" w:hAnsi="Times New Roman" w:cs="Times New Roman"/>
        </w:rPr>
      </w:pPr>
    </w:p>
    <w:p w14:paraId="1042B8CD" w14:textId="2D76755F" w:rsidR="0046565A" w:rsidRPr="009F5B57" w:rsidRDefault="002C39C3" w:rsidP="00472743">
      <w:pPr>
        <w:spacing w:line="360" w:lineRule="auto"/>
        <w:ind w:firstLine="709"/>
        <w:jc w:val="both"/>
        <w:rPr>
          <w:rFonts w:ascii="Times New Roman" w:hAnsi="Times New Roman" w:cs="Times New Roman"/>
          <w:lang w:val="es-ES"/>
        </w:rPr>
      </w:pPr>
      <w:r w:rsidRPr="009F5B57">
        <w:rPr>
          <w:rFonts w:ascii="Times New Roman" w:hAnsi="Times New Roman" w:cs="Times New Roman"/>
          <w:lang w:val="es-ES"/>
        </w:rPr>
        <w:t xml:space="preserve">En relación con la </w:t>
      </w:r>
      <w:r w:rsidR="0046565A" w:rsidRPr="009F5B57">
        <w:rPr>
          <w:rFonts w:ascii="Times New Roman" w:hAnsi="Times New Roman" w:cs="Times New Roman"/>
          <w:lang w:val="es-ES"/>
        </w:rPr>
        <w:t xml:space="preserve">capacidad </w:t>
      </w:r>
      <w:r w:rsidRPr="009F5B57">
        <w:rPr>
          <w:rFonts w:ascii="Times New Roman" w:hAnsi="Times New Roman" w:cs="Times New Roman"/>
          <w:lang w:val="es-ES"/>
        </w:rPr>
        <w:t>para desarrollar esfuerzo físico, se ha descrito que los individuos con anemia</w:t>
      </w:r>
      <w:r w:rsidR="0046565A" w:rsidRPr="009F5B57">
        <w:rPr>
          <w:rFonts w:ascii="Times New Roman" w:hAnsi="Times New Roman" w:cs="Times New Roman"/>
          <w:lang w:val="es-ES"/>
        </w:rPr>
        <w:t xml:space="preserve"> </w:t>
      </w:r>
      <w:r w:rsidRPr="009F5B57">
        <w:rPr>
          <w:rFonts w:ascii="Times New Roman" w:hAnsi="Times New Roman" w:cs="Times New Roman"/>
          <w:lang w:val="es-ES"/>
        </w:rPr>
        <w:t xml:space="preserve">tienden a disminuir su eficiencia en el </w:t>
      </w:r>
      <w:r w:rsidR="0046565A" w:rsidRPr="009F5B57">
        <w:rPr>
          <w:rFonts w:ascii="Times New Roman" w:hAnsi="Times New Roman" w:cs="Times New Roman"/>
          <w:lang w:val="es-ES"/>
        </w:rPr>
        <w:t>trabajo</w:t>
      </w:r>
      <w:r w:rsidRPr="009F5B57">
        <w:rPr>
          <w:rFonts w:ascii="Times New Roman" w:hAnsi="Times New Roman" w:cs="Times New Roman"/>
          <w:lang w:val="es-ES"/>
        </w:rPr>
        <w:t xml:space="preserve">. </w:t>
      </w:r>
      <w:r w:rsidR="0046565A" w:rsidRPr="009F5B57">
        <w:rPr>
          <w:rFonts w:ascii="Times New Roman" w:hAnsi="Times New Roman" w:cs="Times New Roman"/>
          <w:lang w:val="es-ES"/>
        </w:rPr>
        <w:t xml:space="preserve">Dicha disminución se </w:t>
      </w:r>
      <w:r w:rsidRPr="009F5B57">
        <w:rPr>
          <w:rFonts w:ascii="Times New Roman" w:hAnsi="Times New Roman" w:cs="Times New Roman"/>
          <w:lang w:val="es-ES"/>
        </w:rPr>
        <w:t>debe</w:t>
      </w:r>
      <w:r w:rsidR="0046565A" w:rsidRPr="009F5B57">
        <w:rPr>
          <w:rFonts w:ascii="Times New Roman" w:hAnsi="Times New Roman" w:cs="Times New Roman"/>
          <w:lang w:val="es-ES"/>
        </w:rPr>
        <w:t xml:space="preserve"> </w:t>
      </w:r>
      <w:r w:rsidRPr="009F5B57">
        <w:rPr>
          <w:rFonts w:ascii="Times New Roman" w:hAnsi="Times New Roman" w:cs="Times New Roman"/>
          <w:lang w:val="es-ES"/>
        </w:rPr>
        <w:t xml:space="preserve">a que </w:t>
      </w:r>
      <w:r w:rsidR="0046565A" w:rsidRPr="009F5B57">
        <w:rPr>
          <w:rFonts w:ascii="Times New Roman" w:hAnsi="Times New Roman" w:cs="Times New Roman"/>
          <w:lang w:val="es-ES"/>
        </w:rPr>
        <w:t>la reducció</w:t>
      </w:r>
      <w:r w:rsidR="00BB6FF5" w:rsidRPr="009F5B57">
        <w:rPr>
          <w:rFonts w:ascii="Times New Roman" w:hAnsi="Times New Roman" w:cs="Times New Roman"/>
          <w:lang w:val="es-ES"/>
        </w:rPr>
        <w:t>n en los niveles de hemoglobina</w:t>
      </w:r>
      <w:r w:rsidR="0046565A" w:rsidRPr="009F5B57">
        <w:rPr>
          <w:rFonts w:ascii="Times New Roman" w:hAnsi="Times New Roman" w:cs="Times New Roman"/>
          <w:lang w:val="es-ES"/>
        </w:rPr>
        <w:t xml:space="preserve"> mengua la disponibilidad del oxígeno en</w:t>
      </w:r>
      <w:r w:rsidR="005010ED" w:rsidRPr="009F5B57">
        <w:rPr>
          <w:rFonts w:ascii="Times New Roman" w:hAnsi="Times New Roman" w:cs="Times New Roman"/>
          <w:lang w:val="es-ES"/>
        </w:rPr>
        <w:t xml:space="preserve"> los tejidos corporales y por tanto su biodisponibilidad en el músculo.</w:t>
      </w:r>
    </w:p>
    <w:p w14:paraId="6AB8381C" w14:textId="77777777" w:rsidR="0046565A" w:rsidRPr="009F5B57" w:rsidRDefault="0046565A" w:rsidP="009F5B57">
      <w:pPr>
        <w:spacing w:line="360" w:lineRule="auto"/>
        <w:jc w:val="both"/>
        <w:rPr>
          <w:rFonts w:ascii="Times New Roman" w:hAnsi="Times New Roman" w:cs="Times New Roman"/>
          <w:lang w:val="es-ES"/>
        </w:rPr>
      </w:pPr>
    </w:p>
    <w:p w14:paraId="3D0BE74F" w14:textId="02855621" w:rsidR="0046565A" w:rsidRPr="00947664" w:rsidRDefault="0046565A" w:rsidP="00472743">
      <w:pPr>
        <w:pStyle w:val="Prrafodelista"/>
        <w:numPr>
          <w:ilvl w:val="1"/>
          <w:numId w:val="23"/>
        </w:numPr>
        <w:spacing w:line="360" w:lineRule="auto"/>
        <w:rPr>
          <w:rFonts w:ascii="Times New Roman" w:hAnsi="Times New Roman" w:cs="Times New Roman"/>
          <w:i/>
        </w:rPr>
      </w:pPr>
      <w:r w:rsidRPr="006019EE">
        <w:rPr>
          <w:rFonts w:ascii="Times New Roman" w:hAnsi="Times New Roman" w:cs="Times New Roman"/>
          <w:i/>
        </w:rPr>
        <w:t>Impacto de la anemia en el rendimiento escolar</w:t>
      </w:r>
    </w:p>
    <w:p w14:paraId="49778292" w14:textId="37F7B5BD" w:rsidR="0046565A" w:rsidRPr="009F5B57" w:rsidRDefault="0046565A" w:rsidP="009F5B57">
      <w:pPr>
        <w:spacing w:line="360" w:lineRule="auto"/>
        <w:ind w:firstLine="709"/>
        <w:jc w:val="both"/>
        <w:rPr>
          <w:rFonts w:ascii="Times New Roman" w:hAnsi="Times New Roman" w:cs="Times New Roman"/>
          <w:lang w:val="es-ES"/>
        </w:rPr>
      </w:pPr>
      <w:r w:rsidRPr="009F5B57">
        <w:rPr>
          <w:rFonts w:ascii="Times New Roman" w:hAnsi="Times New Roman" w:cs="Times New Roman"/>
          <w:lang w:val="es-ES"/>
        </w:rPr>
        <w:t xml:space="preserve">La deficiencia de hierro afecta la calidad de vida en diversas formas, ya que en todas las células (cerebro, </w:t>
      </w:r>
      <w:r w:rsidR="00513CAC" w:rsidRPr="009F5B57">
        <w:rPr>
          <w:rFonts w:ascii="Times New Roman" w:hAnsi="Times New Roman" w:cs="Times New Roman"/>
          <w:lang w:val="es-ES"/>
        </w:rPr>
        <w:t>músculos</w:t>
      </w:r>
      <w:r w:rsidRPr="009F5B57">
        <w:rPr>
          <w:rFonts w:ascii="Times New Roman" w:hAnsi="Times New Roman" w:cs="Times New Roman"/>
          <w:lang w:val="es-ES"/>
        </w:rPr>
        <w:t>, etc.) el hierro es indispensable para la generación de energía</w:t>
      </w:r>
      <w:r w:rsidR="00CF08EB" w:rsidRPr="009F5B57">
        <w:rPr>
          <w:rFonts w:ascii="Times New Roman" w:hAnsi="Times New Roman" w:cs="Times New Roman"/>
          <w:lang w:val="es-ES"/>
        </w:rPr>
        <w:t xml:space="preserve"> y</w:t>
      </w:r>
      <w:r w:rsidR="006643B9" w:rsidRPr="009F5B57">
        <w:rPr>
          <w:rFonts w:ascii="Times New Roman" w:hAnsi="Times New Roman" w:cs="Times New Roman"/>
          <w:lang w:val="es-ES"/>
        </w:rPr>
        <w:t>,</w:t>
      </w:r>
      <w:r w:rsidR="00CF08EB" w:rsidRPr="009F5B57">
        <w:rPr>
          <w:rFonts w:ascii="Times New Roman" w:hAnsi="Times New Roman" w:cs="Times New Roman"/>
          <w:lang w:val="es-ES"/>
        </w:rPr>
        <w:t xml:space="preserve"> </w:t>
      </w:r>
      <w:r w:rsidR="005010ED" w:rsidRPr="009F5B57">
        <w:rPr>
          <w:rFonts w:ascii="Times New Roman" w:hAnsi="Times New Roman" w:cs="Times New Roman"/>
          <w:lang w:val="es-ES"/>
        </w:rPr>
        <w:t xml:space="preserve">además, </w:t>
      </w:r>
      <w:r w:rsidR="00CF08EB" w:rsidRPr="009F5B57">
        <w:rPr>
          <w:rFonts w:ascii="Times New Roman" w:hAnsi="Times New Roman" w:cs="Times New Roman"/>
          <w:lang w:val="es-ES"/>
        </w:rPr>
        <w:t xml:space="preserve">participa en varios procesos biológicos como cofactor, ya sea en el transporte de oxígeno, el metabolismo de neurotransmisores o la síntesis de ácido </w:t>
      </w:r>
      <w:proofErr w:type="spellStart"/>
      <w:r w:rsidR="00CF08EB" w:rsidRPr="009F5B57">
        <w:rPr>
          <w:rFonts w:ascii="Times New Roman" w:hAnsi="Times New Roman" w:cs="Times New Roman"/>
          <w:lang w:val="es-ES"/>
        </w:rPr>
        <w:t>desoxirribonucléico</w:t>
      </w:r>
      <w:proofErr w:type="spellEnd"/>
      <w:r w:rsidR="00CF08EB" w:rsidRPr="009F5B57">
        <w:rPr>
          <w:rFonts w:ascii="Times New Roman" w:hAnsi="Times New Roman" w:cs="Times New Roman"/>
          <w:lang w:val="es-ES"/>
        </w:rPr>
        <w:t xml:space="preserve">, entre </w:t>
      </w:r>
      <w:r w:rsidR="003A1483" w:rsidRPr="009F5B57">
        <w:rPr>
          <w:rFonts w:ascii="Times New Roman" w:hAnsi="Times New Roman" w:cs="Times New Roman"/>
          <w:lang w:val="es-ES"/>
        </w:rPr>
        <w:t>otros</w:t>
      </w:r>
      <w:r w:rsidR="00CF08EB" w:rsidRPr="009F5B57">
        <w:rPr>
          <w:rFonts w:ascii="Times New Roman" w:hAnsi="Times New Roman" w:cs="Times New Roman"/>
          <w:lang w:val="es-ES"/>
        </w:rPr>
        <w:t>.</w:t>
      </w:r>
      <w:r w:rsidR="003A1483" w:rsidRPr="009F5B57">
        <w:rPr>
          <w:rFonts w:ascii="Times New Roman" w:hAnsi="Times New Roman" w:cs="Times New Roman"/>
          <w:lang w:val="es-ES"/>
        </w:rPr>
        <w:t xml:space="preserve"> </w:t>
      </w:r>
      <w:r w:rsidR="00CF08EB" w:rsidRPr="009F5B57">
        <w:rPr>
          <w:rFonts w:ascii="Times New Roman" w:hAnsi="Times New Roman" w:cs="Times New Roman"/>
          <w:lang w:val="es-ES"/>
        </w:rPr>
        <w:t>Otras manifestaciones de s</w:t>
      </w:r>
      <w:r w:rsidRPr="009F5B57">
        <w:rPr>
          <w:rFonts w:ascii="Times New Roman" w:hAnsi="Times New Roman" w:cs="Times New Roman"/>
          <w:lang w:val="es-ES"/>
        </w:rPr>
        <w:t xml:space="preserve">u deficiencia </w:t>
      </w:r>
      <w:r w:rsidR="00CF08EB" w:rsidRPr="009F5B57">
        <w:rPr>
          <w:rFonts w:ascii="Times New Roman" w:hAnsi="Times New Roman" w:cs="Times New Roman"/>
          <w:lang w:val="es-ES"/>
        </w:rPr>
        <w:t xml:space="preserve">se observan en la disminución en la </w:t>
      </w:r>
      <w:r w:rsidRPr="009F5B57">
        <w:rPr>
          <w:rFonts w:ascii="Times New Roman" w:hAnsi="Times New Roman" w:cs="Times New Roman"/>
          <w:lang w:val="es-ES"/>
        </w:rPr>
        <w:t xml:space="preserve">capacidad </w:t>
      </w:r>
      <w:r w:rsidR="00CF08EB" w:rsidRPr="009F5B57">
        <w:rPr>
          <w:rFonts w:ascii="Times New Roman" w:hAnsi="Times New Roman" w:cs="Times New Roman"/>
          <w:lang w:val="es-ES"/>
        </w:rPr>
        <w:t>para</w:t>
      </w:r>
      <w:r w:rsidRPr="009F5B57">
        <w:rPr>
          <w:rFonts w:ascii="Times New Roman" w:hAnsi="Times New Roman" w:cs="Times New Roman"/>
          <w:lang w:val="es-ES"/>
        </w:rPr>
        <w:t xml:space="preserve"> </w:t>
      </w:r>
      <w:r w:rsidR="00CF08EB" w:rsidRPr="009F5B57">
        <w:rPr>
          <w:rFonts w:ascii="Times New Roman" w:hAnsi="Times New Roman" w:cs="Times New Roman"/>
          <w:lang w:val="es-ES"/>
        </w:rPr>
        <w:t xml:space="preserve">realizar </w:t>
      </w:r>
      <w:r w:rsidRPr="009F5B57">
        <w:rPr>
          <w:rFonts w:ascii="Times New Roman" w:hAnsi="Times New Roman" w:cs="Times New Roman"/>
          <w:lang w:val="es-ES"/>
        </w:rPr>
        <w:t>labores que demandan actividad física o mental</w:t>
      </w:r>
      <w:r w:rsidR="00CF08EB" w:rsidRPr="009F5B57">
        <w:rPr>
          <w:rFonts w:ascii="Times New Roman" w:hAnsi="Times New Roman" w:cs="Times New Roman"/>
          <w:lang w:val="es-ES"/>
        </w:rPr>
        <w:t xml:space="preserve"> o</w:t>
      </w:r>
      <w:r w:rsidR="005B186A" w:rsidRPr="009F5B57">
        <w:rPr>
          <w:rFonts w:ascii="Times New Roman" w:hAnsi="Times New Roman" w:cs="Times New Roman"/>
          <w:lang w:val="es-ES"/>
        </w:rPr>
        <w:t>,</w:t>
      </w:r>
      <w:r w:rsidRPr="009F5B57">
        <w:rPr>
          <w:rFonts w:ascii="Times New Roman" w:hAnsi="Times New Roman" w:cs="Times New Roman"/>
          <w:lang w:val="es-ES"/>
        </w:rPr>
        <w:t xml:space="preserve"> en la dificultad para mantener la temperat</w:t>
      </w:r>
      <w:r w:rsidR="00191C3B" w:rsidRPr="009F5B57">
        <w:rPr>
          <w:rFonts w:ascii="Times New Roman" w:hAnsi="Times New Roman" w:cs="Times New Roman"/>
          <w:lang w:val="es-ES"/>
        </w:rPr>
        <w:t>ura corporal en ambientes fríos, como se mencionó anterior</w:t>
      </w:r>
      <w:r w:rsidR="00CF08EB" w:rsidRPr="009F5B57">
        <w:rPr>
          <w:rFonts w:ascii="Times New Roman" w:hAnsi="Times New Roman" w:cs="Times New Roman"/>
          <w:lang w:val="es-ES"/>
        </w:rPr>
        <w:t xml:space="preserve">mente. </w:t>
      </w:r>
    </w:p>
    <w:p w14:paraId="0867B432" w14:textId="5D293C02" w:rsidR="0046565A" w:rsidRPr="009F5B57" w:rsidRDefault="0046565A" w:rsidP="009F5B57">
      <w:pPr>
        <w:spacing w:line="360" w:lineRule="auto"/>
        <w:ind w:firstLine="709"/>
        <w:jc w:val="both"/>
        <w:rPr>
          <w:rFonts w:ascii="Times New Roman" w:hAnsi="Times New Roman" w:cs="Times New Roman"/>
          <w:lang w:val="es-ES"/>
        </w:rPr>
      </w:pPr>
      <w:r w:rsidRPr="009F5B57">
        <w:rPr>
          <w:rFonts w:ascii="Times New Roman" w:hAnsi="Times New Roman" w:cs="Times New Roman"/>
          <w:lang w:val="es-ES"/>
        </w:rPr>
        <w:br/>
        <w:t xml:space="preserve">En niños en edad escolar se ha demostrado que la anemia causa </w:t>
      </w:r>
      <w:r w:rsidR="00CF08EB" w:rsidRPr="009F5B57">
        <w:rPr>
          <w:rFonts w:ascii="Times New Roman" w:hAnsi="Times New Roman" w:cs="Times New Roman"/>
          <w:lang w:val="es-ES"/>
        </w:rPr>
        <w:t xml:space="preserve">la </w:t>
      </w:r>
      <w:r w:rsidRPr="009F5B57">
        <w:rPr>
          <w:rFonts w:ascii="Times New Roman" w:hAnsi="Times New Roman" w:cs="Times New Roman"/>
          <w:lang w:val="es-ES"/>
        </w:rPr>
        <w:t xml:space="preserve">disminución en la actividad motora, </w:t>
      </w:r>
      <w:r w:rsidR="005B186A" w:rsidRPr="009F5B57">
        <w:rPr>
          <w:rFonts w:ascii="Times New Roman" w:hAnsi="Times New Roman" w:cs="Times New Roman"/>
          <w:lang w:val="es-ES"/>
        </w:rPr>
        <w:t xml:space="preserve">en </w:t>
      </w:r>
      <w:r w:rsidRPr="009F5B57">
        <w:rPr>
          <w:rFonts w:ascii="Times New Roman" w:hAnsi="Times New Roman" w:cs="Times New Roman"/>
          <w:lang w:val="es-ES"/>
        </w:rPr>
        <w:t xml:space="preserve">el rendimiento escolar y </w:t>
      </w:r>
      <w:r w:rsidR="005B186A" w:rsidRPr="009F5B57">
        <w:rPr>
          <w:rFonts w:ascii="Times New Roman" w:hAnsi="Times New Roman" w:cs="Times New Roman"/>
          <w:lang w:val="es-ES"/>
        </w:rPr>
        <w:t xml:space="preserve">en </w:t>
      </w:r>
      <w:r w:rsidRPr="009F5B57">
        <w:rPr>
          <w:rFonts w:ascii="Times New Roman" w:hAnsi="Times New Roman" w:cs="Times New Roman"/>
          <w:lang w:val="es-ES"/>
        </w:rPr>
        <w:t xml:space="preserve">la socialización. Según la edad </w:t>
      </w:r>
      <w:r w:rsidR="005B186A" w:rsidRPr="009F5B57">
        <w:rPr>
          <w:rFonts w:ascii="Times New Roman" w:hAnsi="Times New Roman" w:cs="Times New Roman"/>
          <w:lang w:val="es-ES"/>
        </w:rPr>
        <w:t xml:space="preserve">y gravedad </w:t>
      </w:r>
      <w:r w:rsidRPr="009F5B57">
        <w:rPr>
          <w:rFonts w:ascii="Times New Roman" w:hAnsi="Times New Roman" w:cs="Times New Roman"/>
          <w:lang w:val="es-ES"/>
        </w:rPr>
        <w:t>en la que ocurra la deficiencia</w:t>
      </w:r>
      <w:r w:rsidR="005B186A" w:rsidRPr="009F5B57">
        <w:rPr>
          <w:rFonts w:ascii="Times New Roman" w:hAnsi="Times New Roman" w:cs="Times New Roman"/>
          <w:lang w:val="es-ES"/>
        </w:rPr>
        <w:t xml:space="preserve">, </w:t>
      </w:r>
      <w:r w:rsidRPr="009F5B57">
        <w:rPr>
          <w:rFonts w:ascii="Times New Roman" w:hAnsi="Times New Roman" w:cs="Times New Roman"/>
          <w:lang w:val="es-ES"/>
        </w:rPr>
        <w:t>algunas de las alteraciones en el desarrollo neurológico pueden revertirse con suplementación farmacológica, aunque está documentado que a pesar de corregir</w:t>
      </w:r>
      <w:r w:rsidR="005B186A" w:rsidRPr="009F5B57">
        <w:rPr>
          <w:rFonts w:ascii="Times New Roman" w:hAnsi="Times New Roman" w:cs="Times New Roman"/>
          <w:lang w:val="es-ES"/>
        </w:rPr>
        <w:t>se</w:t>
      </w:r>
      <w:r w:rsidRPr="009F5B57">
        <w:rPr>
          <w:rFonts w:ascii="Times New Roman" w:hAnsi="Times New Roman" w:cs="Times New Roman"/>
          <w:lang w:val="es-ES"/>
        </w:rPr>
        <w:t xml:space="preserve"> la anemia</w:t>
      </w:r>
      <w:r w:rsidR="005B186A" w:rsidRPr="009F5B57">
        <w:rPr>
          <w:rFonts w:ascii="Times New Roman" w:hAnsi="Times New Roman" w:cs="Times New Roman"/>
          <w:lang w:val="es-ES"/>
        </w:rPr>
        <w:t>,</w:t>
      </w:r>
      <w:r w:rsidRPr="009F5B57">
        <w:rPr>
          <w:rFonts w:ascii="Times New Roman" w:hAnsi="Times New Roman" w:cs="Times New Roman"/>
          <w:lang w:val="es-ES"/>
        </w:rPr>
        <w:t xml:space="preserve"> pueden persistir secuelas en el desarrollo</w:t>
      </w:r>
      <w:r w:rsidR="00CF08EB" w:rsidRPr="009F5B57">
        <w:rPr>
          <w:rFonts w:ascii="Times New Roman" w:hAnsi="Times New Roman" w:cs="Times New Roman"/>
          <w:lang w:val="es-ES"/>
        </w:rPr>
        <w:t>. En varios estudios se ha sug</w:t>
      </w:r>
      <w:r w:rsidRPr="009F5B57">
        <w:rPr>
          <w:rFonts w:ascii="Times New Roman" w:hAnsi="Times New Roman" w:cs="Times New Roman"/>
          <w:lang w:val="es-ES"/>
        </w:rPr>
        <w:t>er</w:t>
      </w:r>
      <w:r w:rsidR="00CF08EB" w:rsidRPr="009F5B57">
        <w:rPr>
          <w:rFonts w:ascii="Times New Roman" w:hAnsi="Times New Roman" w:cs="Times New Roman"/>
          <w:lang w:val="es-ES"/>
        </w:rPr>
        <w:t>ido que m</w:t>
      </w:r>
      <w:r w:rsidR="00A02F95" w:rsidRPr="009F5B57">
        <w:rPr>
          <w:rFonts w:ascii="Times New Roman" w:hAnsi="Times New Roman" w:cs="Times New Roman"/>
          <w:lang w:val="es-ES"/>
        </w:rPr>
        <w:t>ucha</w:t>
      </w:r>
      <w:r w:rsidR="00CF08EB" w:rsidRPr="009F5B57">
        <w:rPr>
          <w:rFonts w:ascii="Times New Roman" w:hAnsi="Times New Roman" w:cs="Times New Roman"/>
          <w:lang w:val="es-ES"/>
        </w:rPr>
        <w:t>s de esta</w:t>
      </w:r>
      <w:r w:rsidRPr="009F5B57">
        <w:rPr>
          <w:rFonts w:ascii="Times New Roman" w:hAnsi="Times New Roman" w:cs="Times New Roman"/>
          <w:lang w:val="es-ES"/>
        </w:rPr>
        <w:t xml:space="preserve">s </w:t>
      </w:r>
      <w:r w:rsidR="00CF08EB" w:rsidRPr="009F5B57">
        <w:rPr>
          <w:rFonts w:ascii="Times New Roman" w:hAnsi="Times New Roman" w:cs="Times New Roman"/>
          <w:lang w:val="es-ES"/>
        </w:rPr>
        <w:t xml:space="preserve">alteraciones </w:t>
      </w:r>
      <w:r w:rsidRPr="009F5B57">
        <w:rPr>
          <w:rFonts w:ascii="Times New Roman" w:hAnsi="Times New Roman" w:cs="Times New Roman"/>
          <w:lang w:val="es-ES"/>
        </w:rPr>
        <w:t>encontr</w:t>
      </w:r>
      <w:r w:rsidR="00CF08EB" w:rsidRPr="009F5B57">
        <w:rPr>
          <w:rFonts w:ascii="Times New Roman" w:hAnsi="Times New Roman" w:cs="Times New Roman"/>
          <w:lang w:val="es-ES"/>
        </w:rPr>
        <w:t>ada</w:t>
      </w:r>
      <w:r w:rsidRPr="009F5B57">
        <w:rPr>
          <w:rFonts w:ascii="Times New Roman" w:hAnsi="Times New Roman" w:cs="Times New Roman"/>
          <w:lang w:val="es-ES"/>
        </w:rPr>
        <w:t xml:space="preserve">s en el niño pequeño persisten aún en </w:t>
      </w:r>
      <w:r w:rsidRPr="009F5B57">
        <w:rPr>
          <w:rFonts w:ascii="Times New Roman" w:hAnsi="Times New Roman" w:cs="Times New Roman"/>
          <w:lang w:val="es-ES"/>
        </w:rPr>
        <w:lastRenderedPageBreak/>
        <w:t xml:space="preserve">la adolescencia, agravándose en niños de bajo nivel socioeconómico en relación a niños de nivel </w:t>
      </w:r>
      <w:r w:rsidR="00CF08EB" w:rsidRPr="009F5B57">
        <w:rPr>
          <w:rFonts w:ascii="Times New Roman" w:hAnsi="Times New Roman" w:cs="Times New Roman"/>
          <w:lang w:val="es-ES"/>
        </w:rPr>
        <w:t xml:space="preserve">socioeconómico </w:t>
      </w:r>
      <w:r w:rsidRPr="009F5B57">
        <w:rPr>
          <w:rFonts w:ascii="Times New Roman" w:hAnsi="Times New Roman" w:cs="Times New Roman"/>
          <w:lang w:val="es-ES"/>
        </w:rPr>
        <w:t>medio. La deficiencia de hierro disminuye la inmunidad celular y</w:t>
      </w:r>
      <w:r w:rsidR="005B186A" w:rsidRPr="009F5B57">
        <w:rPr>
          <w:rFonts w:ascii="Times New Roman" w:hAnsi="Times New Roman" w:cs="Times New Roman"/>
          <w:lang w:val="es-ES"/>
        </w:rPr>
        <w:t>,</w:t>
      </w:r>
      <w:r w:rsidRPr="009F5B57">
        <w:rPr>
          <w:rFonts w:ascii="Times New Roman" w:hAnsi="Times New Roman" w:cs="Times New Roman"/>
          <w:lang w:val="es-ES"/>
        </w:rPr>
        <w:t xml:space="preserve"> en consecuencia, incrementa la</w:t>
      </w:r>
      <w:r w:rsidR="002F7A76" w:rsidRPr="009F5B57">
        <w:rPr>
          <w:rFonts w:ascii="Times New Roman" w:hAnsi="Times New Roman" w:cs="Times New Roman"/>
          <w:lang w:val="es-ES"/>
        </w:rPr>
        <w:t xml:space="preserve"> susceptibilidad a infecciones, </w:t>
      </w:r>
      <w:r w:rsidRPr="009F5B57">
        <w:rPr>
          <w:rFonts w:ascii="Times New Roman" w:hAnsi="Times New Roman" w:cs="Times New Roman"/>
          <w:lang w:val="es-ES"/>
        </w:rPr>
        <w:t>particularmente las del aparato respiratorio, las cuales aparecen con mayor frecuencia y con mayor duración en los niños anémicos que en los sanos.</w:t>
      </w:r>
    </w:p>
    <w:p w14:paraId="78C900AE" w14:textId="7791E515" w:rsidR="0067778B" w:rsidRPr="009F5B57" w:rsidRDefault="0067778B" w:rsidP="009F5B57">
      <w:pPr>
        <w:spacing w:line="360" w:lineRule="auto"/>
        <w:ind w:firstLine="709"/>
        <w:jc w:val="both"/>
        <w:rPr>
          <w:rFonts w:ascii="Times New Roman" w:hAnsi="Times New Roman" w:cs="Times New Roman"/>
          <w:lang w:val="es-ES"/>
        </w:rPr>
      </w:pPr>
    </w:p>
    <w:p w14:paraId="0D789737" w14:textId="28C28DEE" w:rsidR="0046565A" w:rsidRPr="009F5B57" w:rsidRDefault="0046565A" w:rsidP="009F5B57">
      <w:pPr>
        <w:spacing w:line="360" w:lineRule="auto"/>
        <w:ind w:firstLine="709"/>
        <w:jc w:val="both"/>
        <w:rPr>
          <w:rFonts w:ascii="Times New Roman" w:hAnsi="Times New Roman" w:cs="Times New Roman"/>
          <w:lang w:val="es-ES"/>
        </w:rPr>
      </w:pPr>
      <w:r w:rsidRPr="009F5B57">
        <w:rPr>
          <w:rFonts w:ascii="Times New Roman" w:hAnsi="Times New Roman" w:cs="Times New Roman"/>
          <w:lang w:val="es-ES"/>
        </w:rPr>
        <w:t xml:space="preserve">En el artículo titulado “Funcionamiento intelectual y rendimiento escolar en niños con anemia y deficiencia de hierro” escrito por Gilda G. </w:t>
      </w:r>
      <w:proofErr w:type="spellStart"/>
      <w:r w:rsidRPr="009F5B57">
        <w:rPr>
          <w:rFonts w:ascii="Times New Roman" w:hAnsi="Times New Roman" w:cs="Times New Roman"/>
          <w:lang w:val="es-ES"/>
        </w:rPr>
        <w:t>Stanco</w:t>
      </w:r>
      <w:proofErr w:type="spellEnd"/>
      <w:r w:rsidR="00761E5E" w:rsidRPr="009F5B57">
        <w:rPr>
          <w:rFonts w:ascii="Times New Roman" w:hAnsi="Times New Roman" w:cs="Times New Roman"/>
          <w:lang w:val="es-ES"/>
        </w:rPr>
        <w:t xml:space="preserve"> (2007</w:t>
      </w:r>
      <w:r w:rsidR="00CF08EB" w:rsidRPr="009F5B57">
        <w:rPr>
          <w:rFonts w:ascii="Times New Roman" w:hAnsi="Times New Roman" w:cs="Times New Roman"/>
          <w:lang w:val="es-ES"/>
        </w:rPr>
        <w:t>)</w:t>
      </w:r>
      <w:r w:rsidRPr="009F5B57">
        <w:rPr>
          <w:rFonts w:ascii="Times New Roman" w:hAnsi="Times New Roman" w:cs="Times New Roman"/>
          <w:lang w:val="es-ES"/>
        </w:rPr>
        <w:t>, se afirma que hay una disminución en el rendimiento escolar</w:t>
      </w:r>
      <w:r w:rsidR="005B186A" w:rsidRPr="009F5B57">
        <w:rPr>
          <w:rFonts w:ascii="Times New Roman" w:hAnsi="Times New Roman" w:cs="Times New Roman"/>
          <w:lang w:val="es-ES"/>
        </w:rPr>
        <w:t>,</w:t>
      </w:r>
      <w:r w:rsidR="00CF08EB" w:rsidRPr="009F5B57">
        <w:rPr>
          <w:rFonts w:ascii="Times New Roman" w:hAnsi="Times New Roman" w:cs="Times New Roman"/>
          <w:lang w:val="es-ES"/>
        </w:rPr>
        <w:t xml:space="preserve"> en niños con deficiencia de hierro con respecto a los casos control, sugiriendo </w:t>
      </w:r>
      <w:r w:rsidRPr="009F5B57">
        <w:rPr>
          <w:rFonts w:ascii="Times New Roman" w:hAnsi="Times New Roman" w:cs="Times New Roman"/>
          <w:lang w:val="es-ES"/>
        </w:rPr>
        <w:t xml:space="preserve">una asociación entre anemia por deficiencia de hierro en la infancia y </w:t>
      </w:r>
      <w:r w:rsidR="00CF08EB" w:rsidRPr="009F5B57">
        <w:rPr>
          <w:rFonts w:ascii="Times New Roman" w:hAnsi="Times New Roman" w:cs="Times New Roman"/>
          <w:lang w:val="es-ES"/>
        </w:rPr>
        <w:t xml:space="preserve">la </w:t>
      </w:r>
      <w:r w:rsidRPr="009F5B57">
        <w:rPr>
          <w:rFonts w:ascii="Times New Roman" w:hAnsi="Times New Roman" w:cs="Times New Roman"/>
          <w:lang w:val="es-ES"/>
        </w:rPr>
        <w:t>disminución en el desarrollo mental y físico</w:t>
      </w:r>
      <w:r w:rsidR="005B186A" w:rsidRPr="009F5B57">
        <w:rPr>
          <w:rFonts w:ascii="Times New Roman" w:hAnsi="Times New Roman" w:cs="Times New Roman"/>
          <w:lang w:val="es-ES"/>
        </w:rPr>
        <w:t xml:space="preserve"> del sujeto</w:t>
      </w:r>
      <w:r w:rsidRPr="009F5B57">
        <w:rPr>
          <w:rFonts w:ascii="Times New Roman" w:hAnsi="Times New Roman" w:cs="Times New Roman"/>
          <w:lang w:val="es-ES"/>
        </w:rPr>
        <w:t xml:space="preserve">. Este compromiso en la capacidad mental y cognitiva no fue tan </w:t>
      </w:r>
      <w:r w:rsidR="009F4BA7" w:rsidRPr="009F5B57">
        <w:rPr>
          <w:rFonts w:ascii="Times New Roman" w:hAnsi="Times New Roman" w:cs="Times New Roman"/>
          <w:lang w:val="es-ES"/>
        </w:rPr>
        <w:t xml:space="preserve">palpable </w:t>
      </w:r>
      <w:r w:rsidR="005B186A" w:rsidRPr="009F5B57">
        <w:rPr>
          <w:rFonts w:ascii="Times New Roman" w:hAnsi="Times New Roman" w:cs="Times New Roman"/>
          <w:lang w:val="es-ES"/>
        </w:rPr>
        <w:t xml:space="preserve">en </w:t>
      </w:r>
      <w:r w:rsidRPr="009F5B57">
        <w:rPr>
          <w:rFonts w:ascii="Times New Roman" w:hAnsi="Times New Roman" w:cs="Times New Roman"/>
          <w:lang w:val="es-ES"/>
        </w:rPr>
        <w:t xml:space="preserve">los infantes con </w:t>
      </w:r>
      <w:r w:rsidR="009F4BA7" w:rsidRPr="009F5B57">
        <w:rPr>
          <w:rFonts w:ascii="Times New Roman" w:hAnsi="Times New Roman" w:cs="Times New Roman"/>
          <w:lang w:val="es-ES"/>
        </w:rPr>
        <w:t xml:space="preserve">anemia leve por </w:t>
      </w:r>
      <w:r w:rsidRPr="009F5B57">
        <w:rPr>
          <w:rFonts w:ascii="Times New Roman" w:hAnsi="Times New Roman" w:cs="Times New Roman"/>
          <w:lang w:val="es-ES"/>
        </w:rPr>
        <w:t>deficiencia de hierro</w:t>
      </w:r>
      <w:r w:rsidR="009F4BA7" w:rsidRPr="009F5B57">
        <w:rPr>
          <w:rFonts w:ascii="Times New Roman" w:hAnsi="Times New Roman" w:cs="Times New Roman"/>
          <w:lang w:val="es-ES"/>
        </w:rPr>
        <w:t xml:space="preserve">. </w:t>
      </w:r>
      <w:r w:rsidRPr="009F5B57">
        <w:rPr>
          <w:rFonts w:ascii="Times New Roman" w:hAnsi="Times New Roman" w:cs="Times New Roman"/>
          <w:lang w:val="es-ES"/>
        </w:rPr>
        <w:t>La severidad, cronicidad y el momento de aparición del déficit nutricional son elementos importantes, que necesitan seg</w:t>
      </w:r>
      <w:r w:rsidR="009F4BA7" w:rsidRPr="009F5B57">
        <w:rPr>
          <w:rFonts w:ascii="Times New Roman" w:hAnsi="Times New Roman" w:cs="Times New Roman"/>
          <w:lang w:val="es-ES"/>
        </w:rPr>
        <w:t>uir siendo investigados</w:t>
      </w:r>
      <w:r w:rsidRPr="009F5B57">
        <w:rPr>
          <w:rFonts w:ascii="Times New Roman" w:hAnsi="Times New Roman" w:cs="Times New Roman"/>
          <w:lang w:val="es-ES"/>
        </w:rPr>
        <w:t>, así como, la reversibilidad o no de los efectos o</w:t>
      </w:r>
      <w:r w:rsidR="00A02F95" w:rsidRPr="009F5B57">
        <w:rPr>
          <w:rFonts w:ascii="Times New Roman" w:hAnsi="Times New Roman" w:cs="Times New Roman"/>
          <w:lang w:val="es-ES"/>
        </w:rPr>
        <w:t>bservados.</w:t>
      </w:r>
      <w:r w:rsidR="00513CAC" w:rsidRPr="009F5B57">
        <w:rPr>
          <w:rFonts w:ascii="Times New Roman" w:hAnsi="Times New Roman" w:cs="Times New Roman"/>
          <w:lang w:val="es-ES"/>
        </w:rPr>
        <w:t xml:space="preserve"> </w:t>
      </w:r>
      <w:r w:rsidR="0068644F" w:rsidRPr="009F5B57">
        <w:rPr>
          <w:rFonts w:ascii="Times New Roman" w:hAnsi="Times New Roman" w:cs="Times New Roman"/>
          <w:noProof/>
        </w:rPr>
        <w:t xml:space="preserve"> </w:t>
      </w:r>
      <w:sdt>
        <w:sdtPr>
          <w:rPr>
            <w:rFonts w:ascii="Times New Roman" w:hAnsi="Times New Roman" w:cs="Times New Roman"/>
            <w:noProof/>
          </w:rPr>
          <w:id w:val="1839115196"/>
          <w:citation/>
        </w:sdtPr>
        <w:sdtContent>
          <w:r w:rsidR="0068644F" w:rsidRPr="009F5B57">
            <w:rPr>
              <w:rFonts w:ascii="Times New Roman" w:hAnsi="Times New Roman" w:cs="Times New Roman"/>
              <w:noProof/>
            </w:rPr>
            <w:fldChar w:fldCharType="begin"/>
          </w:r>
          <w:r w:rsidR="0068644F" w:rsidRPr="009F5B57">
            <w:rPr>
              <w:rFonts w:ascii="Times New Roman" w:hAnsi="Times New Roman" w:cs="Times New Roman"/>
              <w:noProof/>
            </w:rPr>
            <w:instrText xml:space="preserve"> CITATION Gil07 \l 1034 </w:instrText>
          </w:r>
          <w:r w:rsidR="0068644F" w:rsidRPr="009F5B57">
            <w:rPr>
              <w:rFonts w:ascii="Times New Roman" w:hAnsi="Times New Roman" w:cs="Times New Roman"/>
              <w:noProof/>
            </w:rPr>
            <w:fldChar w:fldCharType="separate"/>
          </w:r>
          <w:r w:rsidR="0068644F" w:rsidRPr="009F5B57">
            <w:rPr>
              <w:rFonts w:ascii="Times New Roman" w:hAnsi="Times New Roman" w:cs="Times New Roman"/>
              <w:noProof/>
            </w:rPr>
            <w:t xml:space="preserve"> (Gilda G, 2007)</w:t>
          </w:r>
          <w:r w:rsidR="0068644F" w:rsidRPr="009F5B57">
            <w:rPr>
              <w:rFonts w:ascii="Times New Roman" w:hAnsi="Times New Roman" w:cs="Times New Roman"/>
              <w:noProof/>
            </w:rPr>
            <w:fldChar w:fldCharType="end"/>
          </w:r>
        </w:sdtContent>
      </w:sdt>
    </w:p>
    <w:p w14:paraId="664DE388" w14:textId="789B53D1" w:rsidR="0046565A" w:rsidRPr="009F5B57" w:rsidRDefault="0067778B" w:rsidP="009F5B57">
      <w:pPr>
        <w:pStyle w:val="NormalWeb"/>
        <w:spacing w:line="360" w:lineRule="auto"/>
        <w:ind w:firstLine="709"/>
        <w:jc w:val="both"/>
        <w:rPr>
          <w:rFonts w:ascii="Times New Roman" w:hAnsi="Times New Roman"/>
          <w:sz w:val="24"/>
          <w:szCs w:val="24"/>
          <w:lang w:val="es-ES"/>
        </w:rPr>
      </w:pPr>
      <w:r w:rsidRPr="009F5B57">
        <w:rPr>
          <w:rFonts w:ascii="Times New Roman" w:hAnsi="Times New Roman"/>
          <w:sz w:val="24"/>
          <w:szCs w:val="24"/>
          <w:lang w:val="es-ES"/>
        </w:rPr>
        <w:t>Otra prueba del impacto en el rendimiento escolar se encuen</w:t>
      </w:r>
      <w:r w:rsidR="003A1483" w:rsidRPr="009F5B57">
        <w:rPr>
          <w:rFonts w:ascii="Times New Roman" w:hAnsi="Times New Roman"/>
          <w:sz w:val="24"/>
          <w:szCs w:val="24"/>
          <w:lang w:val="es-ES"/>
        </w:rPr>
        <w:t xml:space="preserve">tra en </w:t>
      </w:r>
      <w:r w:rsidRPr="009F5B57">
        <w:rPr>
          <w:rFonts w:ascii="Times New Roman" w:hAnsi="Times New Roman"/>
          <w:sz w:val="24"/>
          <w:szCs w:val="24"/>
          <w:lang w:val="es-ES"/>
        </w:rPr>
        <w:t>el</w:t>
      </w:r>
      <w:r w:rsidR="0046565A" w:rsidRPr="009F5B57">
        <w:rPr>
          <w:rFonts w:ascii="Times New Roman" w:hAnsi="Times New Roman"/>
          <w:sz w:val="24"/>
          <w:szCs w:val="24"/>
          <w:lang w:val="es-ES"/>
        </w:rPr>
        <w:t xml:space="preserve"> estudio realiza</w:t>
      </w:r>
      <w:r w:rsidR="00761E5E" w:rsidRPr="009F5B57">
        <w:rPr>
          <w:rFonts w:ascii="Times New Roman" w:hAnsi="Times New Roman"/>
          <w:sz w:val="24"/>
          <w:szCs w:val="24"/>
          <w:lang w:val="es-ES"/>
        </w:rPr>
        <w:t>do en la Universidad del Estado de Pensilvania</w:t>
      </w:r>
      <w:r w:rsidRPr="009F5B57">
        <w:rPr>
          <w:rFonts w:ascii="Times New Roman" w:hAnsi="Times New Roman"/>
          <w:sz w:val="24"/>
          <w:szCs w:val="24"/>
          <w:lang w:val="es-ES"/>
        </w:rPr>
        <w:t xml:space="preserve">, donde se </w:t>
      </w:r>
      <w:r w:rsidR="0046565A" w:rsidRPr="009F5B57">
        <w:rPr>
          <w:rFonts w:ascii="Times New Roman" w:hAnsi="Times New Roman"/>
          <w:sz w:val="24"/>
          <w:szCs w:val="24"/>
          <w:lang w:val="es-ES"/>
        </w:rPr>
        <w:t xml:space="preserve">observó que después de </w:t>
      </w:r>
      <w:r w:rsidR="009F4BA7" w:rsidRPr="009F5B57">
        <w:rPr>
          <w:rFonts w:ascii="Times New Roman" w:hAnsi="Times New Roman"/>
          <w:sz w:val="24"/>
          <w:szCs w:val="24"/>
          <w:lang w:val="es-ES"/>
        </w:rPr>
        <w:t xml:space="preserve">administrar </w:t>
      </w:r>
      <w:r w:rsidR="0046565A" w:rsidRPr="009F5B57">
        <w:rPr>
          <w:rFonts w:ascii="Times New Roman" w:hAnsi="Times New Roman"/>
          <w:sz w:val="24"/>
          <w:szCs w:val="24"/>
          <w:lang w:val="es-ES"/>
        </w:rPr>
        <w:t>suplemento</w:t>
      </w:r>
      <w:r w:rsidRPr="009F5B57">
        <w:rPr>
          <w:rFonts w:ascii="Times New Roman" w:hAnsi="Times New Roman"/>
          <w:sz w:val="24"/>
          <w:szCs w:val="24"/>
          <w:lang w:val="es-ES"/>
        </w:rPr>
        <w:t>s de hierro</w:t>
      </w:r>
      <w:r w:rsidR="003A1483" w:rsidRPr="009F5B57">
        <w:rPr>
          <w:rFonts w:ascii="Times New Roman" w:hAnsi="Times New Roman"/>
          <w:sz w:val="24"/>
          <w:szCs w:val="24"/>
          <w:lang w:val="es-ES"/>
        </w:rPr>
        <w:t>,</w:t>
      </w:r>
      <w:r w:rsidRPr="009F5B57">
        <w:rPr>
          <w:rFonts w:ascii="Times New Roman" w:hAnsi="Times New Roman"/>
          <w:sz w:val="24"/>
          <w:szCs w:val="24"/>
          <w:lang w:val="es-ES"/>
        </w:rPr>
        <w:t xml:space="preserve"> a 78 adolescentes mujeres</w:t>
      </w:r>
      <w:r w:rsidR="0046565A" w:rsidRPr="009F5B57">
        <w:rPr>
          <w:rFonts w:ascii="Times New Roman" w:hAnsi="Times New Roman"/>
          <w:sz w:val="24"/>
          <w:szCs w:val="24"/>
          <w:lang w:val="es-ES"/>
        </w:rPr>
        <w:t xml:space="preserve"> con bajos niveles </w:t>
      </w:r>
      <w:r w:rsidR="009F4BA7" w:rsidRPr="009F5B57">
        <w:rPr>
          <w:rFonts w:ascii="Times New Roman" w:hAnsi="Times New Roman"/>
          <w:sz w:val="24"/>
          <w:szCs w:val="24"/>
          <w:lang w:val="es-ES"/>
        </w:rPr>
        <w:t xml:space="preserve">sanguíneos </w:t>
      </w:r>
      <w:r w:rsidR="0046565A" w:rsidRPr="009F5B57">
        <w:rPr>
          <w:rFonts w:ascii="Times New Roman" w:hAnsi="Times New Roman"/>
          <w:sz w:val="24"/>
          <w:szCs w:val="24"/>
          <w:lang w:val="es-ES"/>
        </w:rPr>
        <w:t xml:space="preserve">de </w:t>
      </w:r>
      <w:r w:rsidR="009F4BA7" w:rsidRPr="009F5B57">
        <w:rPr>
          <w:rFonts w:ascii="Times New Roman" w:hAnsi="Times New Roman"/>
          <w:sz w:val="24"/>
          <w:szCs w:val="24"/>
          <w:lang w:val="es-ES"/>
        </w:rPr>
        <w:t xml:space="preserve">este elemento, éstas presentaron una mejora </w:t>
      </w:r>
      <w:r w:rsidR="0046565A" w:rsidRPr="009F5B57">
        <w:rPr>
          <w:rFonts w:ascii="Times New Roman" w:hAnsi="Times New Roman"/>
          <w:sz w:val="24"/>
          <w:szCs w:val="24"/>
          <w:lang w:val="es-ES"/>
        </w:rPr>
        <w:t xml:space="preserve">importante en las pruebas de aprendizaje verbal y de memoria. </w:t>
      </w:r>
      <w:r w:rsidR="00761E5E" w:rsidRPr="009F5B57">
        <w:rPr>
          <w:rFonts w:ascii="Times New Roman" w:hAnsi="Times New Roman"/>
          <w:sz w:val="24"/>
          <w:szCs w:val="24"/>
          <w:lang w:val="es-ES"/>
        </w:rPr>
        <w:t>(</w:t>
      </w:r>
      <w:proofErr w:type="spellStart"/>
      <w:r w:rsidR="00761E5E" w:rsidRPr="009F5B57">
        <w:rPr>
          <w:rFonts w:ascii="Times New Roman" w:hAnsi="Times New Roman"/>
          <w:sz w:val="24"/>
          <w:szCs w:val="24"/>
          <w:lang w:val="es-ES"/>
        </w:rPr>
        <w:t>Webb</w:t>
      </w:r>
      <w:proofErr w:type="spellEnd"/>
      <w:r w:rsidR="00761E5E" w:rsidRPr="009F5B57">
        <w:rPr>
          <w:rFonts w:ascii="Times New Roman" w:hAnsi="Times New Roman"/>
          <w:sz w:val="24"/>
          <w:szCs w:val="24"/>
          <w:lang w:val="es-ES"/>
        </w:rPr>
        <w:t xml:space="preserve"> T. y </w:t>
      </w:r>
      <w:proofErr w:type="spellStart"/>
      <w:r w:rsidR="00761E5E" w:rsidRPr="009F5B57">
        <w:rPr>
          <w:rFonts w:ascii="Times New Roman" w:hAnsi="Times New Roman"/>
          <w:sz w:val="24"/>
          <w:szCs w:val="24"/>
          <w:lang w:val="es-ES"/>
        </w:rPr>
        <w:t>Oski</w:t>
      </w:r>
      <w:proofErr w:type="spellEnd"/>
      <w:r w:rsidR="00761E5E" w:rsidRPr="009F5B57">
        <w:rPr>
          <w:rFonts w:ascii="Times New Roman" w:hAnsi="Times New Roman"/>
          <w:sz w:val="24"/>
          <w:szCs w:val="24"/>
          <w:lang w:val="es-ES"/>
        </w:rPr>
        <w:t xml:space="preserve"> F. , 1973)</w:t>
      </w:r>
    </w:p>
    <w:p w14:paraId="15AD2057" w14:textId="037F81EB" w:rsidR="0046565A" w:rsidRPr="006019EE" w:rsidRDefault="0067778B" w:rsidP="006019EE">
      <w:pPr>
        <w:pStyle w:val="NormalWeb"/>
        <w:spacing w:line="360" w:lineRule="auto"/>
        <w:ind w:firstLine="709"/>
        <w:jc w:val="both"/>
        <w:rPr>
          <w:rFonts w:ascii="Times New Roman" w:hAnsi="Times New Roman"/>
          <w:sz w:val="24"/>
          <w:szCs w:val="24"/>
          <w:lang w:val="es-ES"/>
        </w:rPr>
      </w:pPr>
      <w:r w:rsidRPr="009F5B57">
        <w:rPr>
          <w:rFonts w:ascii="Times New Roman" w:hAnsi="Times New Roman"/>
          <w:sz w:val="24"/>
          <w:szCs w:val="24"/>
          <w:lang w:val="es-ES"/>
        </w:rPr>
        <w:t xml:space="preserve">Por otro lado, </w:t>
      </w:r>
      <w:r w:rsidR="009F4BA7" w:rsidRPr="009F5B57">
        <w:rPr>
          <w:rFonts w:ascii="Times New Roman" w:hAnsi="Times New Roman"/>
          <w:sz w:val="24"/>
          <w:szCs w:val="24"/>
          <w:lang w:val="es-ES"/>
        </w:rPr>
        <w:t xml:space="preserve">en </w:t>
      </w:r>
      <w:r w:rsidRPr="009F5B57">
        <w:rPr>
          <w:rFonts w:ascii="Times New Roman" w:hAnsi="Times New Roman"/>
          <w:sz w:val="24"/>
          <w:szCs w:val="24"/>
          <w:lang w:val="es-ES"/>
        </w:rPr>
        <w:t>e</w:t>
      </w:r>
      <w:r w:rsidR="0046565A" w:rsidRPr="009F5B57">
        <w:rPr>
          <w:rFonts w:ascii="Times New Roman" w:hAnsi="Times New Roman"/>
          <w:sz w:val="24"/>
          <w:szCs w:val="24"/>
          <w:lang w:val="es-ES"/>
        </w:rPr>
        <w:t>l estudio realizado por la doctora Laura E. Murray-</w:t>
      </w:r>
      <w:proofErr w:type="spellStart"/>
      <w:r w:rsidR="0046565A" w:rsidRPr="009F5B57">
        <w:rPr>
          <w:rFonts w:ascii="Times New Roman" w:hAnsi="Times New Roman"/>
          <w:sz w:val="24"/>
          <w:szCs w:val="24"/>
          <w:lang w:val="es-ES"/>
        </w:rPr>
        <w:t>Kolb</w:t>
      </w:r>
      <w:proofErr w:type="spellEnd"/>
      <w:r w:rsidR="0046565A" w:rsidRPr="009F5B57">
        <w:rPr>
          <w:rFonts w:ascii="Times New Roman" w:hAnsi="Times New Roman"/>
          <w:sz w:val="24"/>
          <w:szCs w:val="24"/>
          <w:lang w:val="es-ES"/>
        </w:rPr>
        <w:t xml:space="preserve"> y colaboradores</w:t>
      </w:r>
      <w:r w:rsidR="00761E5E" w:rsidRPr="009F5B57">
        <w:rPr>
          <w:rFonts w:ascii="Times New Roman" w:hAnsi="Times New Roman"/>
          <w:sz w:val="24"/>
          <w:szCs w:val="24"/>
          <w:lang w:val="es-ES"/>
        </w:rPr>
        <w:t xml:space="preserve"> (2007</w:t>
      </w:r>
      <w:r w:rsidR="009F4BA7" w:rsidRPr="009F5B57">
        <w:rPr>
          <w:rFonts w:ascii="Times New Roman" w:hAnsi="Times New Roman"/>
          <w:sz w:val="24"/>
          <w:szCs w:val="24"/>
          <w:lang w:val="es-ES"/>
        </w:rPr>
        <w:t>)</w:t>
      </w:r>
      <w:r w:rsidR="0046565A" w:rsidRPr="009F5B57">
        <w:rPr>
          <w:rFonts w:ascii="Times New Roman" w:hAnsi="Times New Roman"/>
          <w:sz w:val="24"/>
          <w:szCs w:val="24"/>
          <w:lang w:val="es-ES"/>
        </w:rPr>
        <w:t xml:space="preserve">, </w:t>
      </w:r>
      <w:r w:rsidR="009F4BA7" w:rsidRPr="009F5B57">
        <w:rPr>
          <w:rFonts w:ascii="Times New Roman" w:hAnsi="Times New Roman"/>
          <w:sz w:val="24"/>
          <w:szCs w:val="24"/>
          <w:lang w:val="es-ES"/>
        </w:rPr>
        <w:t xml:space="preserve">en la Universidad John Hopkins de Baltimore, donde se </w:t>
      </w:r>
      <w:r w:rsidR="00573D37" w:rsidRPr="009F5B57">
        <w:rPr>
          <w:rFonts w:ascii="Times New Roman" w:hAnsi="Times New Roman"/>
          <w:sz w:val="24"/>
          <w:szCs w:val="24"/>
          <w:lang w:val="es-ES"/>
        </w:rPr>
        <w:t>incluye</w:t>
      </w:r>
      <w:r w:rsidR="009F4BA7" w:rsidRPr="009F5B57">
        <w:rPr>
          <w:rFonts w:ascii="Times New Roman" w:hAnsi="Times New Roman"/>
          <w:sz w:val="24"/>
          <w:szCs w:val="24"/>
          <w:lang w:val="es-ES"/>
        </w:rPr>
        <w:t>ron a</w:t>
      </w:r>
      <w:r w:rsidR="00573D37" w:rsidRPr="009F5B57">
        <w:rPr>
          <w:rFonts w:ascii="Times New Roman" w:hAnsi="Times New Roman"/>
          <w:sz w:val="24"/>
          <w:szCs w:val="24"/>
          <w:lang w:val="es-ES"/>
        </w:rPr>
        <w:t xml:space="preserve"> 113 mujeres de 18 a 3</w:t>
      </w:r>
      <w:r w:rsidR="0046565A" w:rsidRPr="009F5B57">
        <w:rPr>
          <w:rFonts w:ascii="Times New Roman" w:hAnsi="Times New Roman"/>
          <w:sz w:val="24"/>
          <w:szCs w:val="24"/>
          <w:lang w:val="es-ES"/>
        </w:rPr>
        <w:t xml:space="preserve">5 años, </w:t>
      </w:r>
      <w:r w:rsidR="009F4BA7" w:rsidRPr="009F5B57">
        <w:rPr>
          <w:rFonts w:ascii="Times New Roman" w:hAnsi="Times New Roman"/>
          <w:sz w:val="24"/>
          <w:szCs w:val="24"/>
          <w:lang w:val="es-ES"/>
        </w:rPr>
        <w:t xml:space="preserve">y a las cuales </w:t>
      </w:r>
      <w:r w:rsidR="0046565A" w:rsidRPr="009F5B57">
        <w:rPr>
          <w:rFonts w:ascii="Times New Roman" w:hAnsi="Times New Roman"/>
          <w:sz w:val="24"/>
          <w:szCs w:val="24"/>
          <w:lang w:val="es-ES"/>
        </w:rPr>
        <w:t xml:space="preserve"> se les realizaron pruebas estándares de memoria, atención y ap</w:t>
      </w:r>
      <w:r w:rsidRPr="009F5B57">
        <w:rPr>
          <w:rFonts w:ascii="Times New Roman" w:hAnsi="Times New Roman"/>
          <w:sz w:val="24"/>
          <w:szCs w:val="24"/>
          <w:lang w:val="es-ES"/>
        </w:rPr>
        <w:t>rendizaje</w:t>
      </w:r>
      <w:r w:rsidR="009F4BA7" w:rsidRPr="009F5B57">
        <w:rPr>
          <w:rFonts w:ascii="Times New Roman" w:hAnsi="Times New Roman"/>
          <w:sz w:val="24"/>
          <w:szCs w:val="24"/>
          <w:lang w:val="es-ES"/>
        </w:rPr>
        <w:t xml:space="preserve">, así como exámenes de sangre, se observó </w:t>
      </w:r>
      <w:r w:rsidRPr="009F5B57">
        <w:rPr>
          <w:rFonts w:ascii="Times New Roman" w:hAnsi="Times New Roman"/>
          <w:sz w:val="24"/>
          <w:szCs w:val="24"/>
          <w:lang w:val="es-ES"/>
        </w:rPr>
        <w:t xml:space="preserve">que </w:t>
      </w:r>
      <w:r w:rsidR="0046565A" w:rsidRPr="009F5B57">
        <w:rPr>
          <w:rFonts w:ascii="Times New Roman" w:hAnsi="Times New Roman"/>
          <w:sz w:val="24"/>
          <w:szCs w:val="24"/>
          <w:lang w:val="es-ES"/>
        </w:rPr>
        <w:t>42 mujeres tenían niveles normales de hierro en sangre, mientras el resto, padecía de a</w:t>
      </w:r>
      <w:r w:rsidR="009F4BA7" w:rsidRPr="009F5B57">
        <w:rPr>
          <w:rFonts w:ascii="Times New Roman" w:hAnsi="Times New Roman"/>
          <w:sz w:val="24"/>
          <w:szCs w:val="24"/>
          <w:lang w:val="es-ES"/>
        </w:rPr>
        <w:t xml:space="preserve">nemia por falta de hierro. Se administró a las participantes, suplementos de hierro o </w:t>
      </w:r>
      <w:r w:rsidR="00D229E1" w:rsidRPr="009F5B57">
        <w:rPr>
          <w:rFonts w:ascii="Times New Roman" w:hAnsi="Times New Roman"/>
          <w:sz w:val="24"/>
          <w:szCs w:val="24"/>
          <w:lang w:val="es-ES"/>
        </w:rPr>
        <w:t>cá</w:t>
      </w:r>
      <w:r w:rsidR="009F4BA7" w:rsidRPr="009F5B57">
        <w:rPr>
          <w:rFonts w:ascii="Times New Roman" w:hAnsi="Times New Roman"/>
          <w:sz w:val="24"/>
          <w:szCs w:val="24"/>
          <w:lang w:val="es-ES"/>
        </w:rPr>
        <w:t xml:space="preserve">psulas placebo </w:t>
      </w:r>
      <w:r w:rsidRPr="009F5B57">
        <w:rPr>
          <w:rFonts w:ascii="Times New Roman" w:hAnsi="Times New Roman"/>
          <w:sz w:val="24"/>
          <w:szCs w:val="24"/>
          <w:lang w:val="es-ES"/>
        </w:rPr>
        <w:t>durante 16 semanas</w:t>
      </w:r>
      <w:r w:rsidR="009F4BA7" w:rsidRPr="009F5B57">
        <w:rPr>
          <w:rFonts w:ascii="Times New Roman" w:hAnsi="Times New Roman"/>
          <w:sz w:val="24"/>
          <w:szCs w:val="24"/>
          <w:lang w:val="es-ES"/>
        </w:rPr>
        <w:t xml:space="preserve">. </w:t>
      </w:r>
      <w:r w:rsidRPr="009F5B57">
        <w:rPr>
          <w:rFonts w:ascii="Times New Roman" w:hAnsi="Times New Roman"/>
          <w:sz w:val="24"/>
          <w:szCs w:val="24"/>
          <w:lang w:val="es-ES"/>
        </w:rPr>
        <w:t>C</w:t>
      </w:r>
      <w:r w:rsidR="0046565A" w:rsidRPr="009F5B57">
        <w:rPr>
          <w:rFonts w:ascii="Times New Roman" w:hAnsi="Times New Roman"/>
          <w:sz w:val="24"/>
          <w:szCs w:val="24"/>
          <w:lang w:val="es-ES"/>
        </w:rPr>
        <w:t xml:space="preserve">omo resultado </w:t>
      </w:r>
      <w:r w:rsidR="009F4BA7" w:rsidRPr="009F5B57">
        <w:rPr>
          <w:rFonts w:ascii="Times New Roman" w:hAnsi="Times New Roman"/>
          <w:sz w:val="24"/>
          <w:szCs w:val="24"/>
          <w:lang w:val="es-ES"/>
        </w:rPr>
        <w:t xml:space="preserve">se observó que </w:t>
      </w:r>
      <w:r w:rsidR="0046565A" w:rsidRPr="009F5B57">
        <w:rPr>
          <w:rFonts w:ascii="Times New Roman" w:hAnsi="Times New Roman"/>
          <w:sz w:val="24"/>
          <w:szCs w:val="24"/>
          <w:lang w:val="es-ES"/>
        </w:rPr>
        <w:t>las mujeres que habían tenido niveles insuficientes del mineral y lo recibieron en el tratamiento mejoraron su agudeza mental y aquellas participantes que habían sufrido un aumento significativo de la proteína de almacenamiento de hierro (ferritina), también mejoraron 5 a 7 veces más en cuanto a</w:t>
      </w:r>
      <w:r w:rsidR="005B186A" w:rsidRPr="009F5B57">
        <w:rPr>
          <w:rFonts w:ascii="Times New Roman" w:hAnsi="Times New Roman"/>
          <w:sz w:val="24"/>
          <w:szCs w:val="24"/>
          <w:lang w:val="es-ES"/>
        </w:rPr>
        <w:t xml:space="preserve"> su</w:t>
      </w:r>
      <w:r w:rsidR="0046565A" w:rsidRPr="009F5B57">
        <w:rPr>
          <w:rFonts w:ascii="Times New Roman" w:hAnsi="Times New Roman"/>
          <w:sz w:val="24"/>
          <w:szCs w:val="24"/>
          <w:lang w:val="es-ES"/>
        </w:rPr>
        <w:t xml:space="preserve"> </w:t>
      </w:r>
      <w:r w:rsidR="0046565A" w:rsidRPr="009F5B57">
        <w:rPr>
          <w:rFonts w:ascii="Times New Roman" w:hAnsi="Times New Roman"/>
          <w:sz w:val="24"/>
          <w:szCs w:val="24"/>
          <w:lang w:val="es-ES"/>
        </w:rPr>
        <w:lastRenderedPageBreak/>
        <w:t>rendimiento se refiere. Los resultados, según los autores, muestran que los efectos del déficit de hierro no se limitan al cerebro en desarrollo, y desafían la idea de que</w:t>
      </w:r>
      <w:r w:rsidR="007F0049" w:rsidRPr="009F5B57">
        <w:rPr>
          <w:rFonts w:ascii="Times New Roman" w:hAnsi="Times New Roman"/>
          <w:sz w:val="24"/>
          <w:szCs w:val="24"/>
          <w:lang w:val="es-ES"/>
        </w:rPr>
        <w:t xml:space="preserve"> esta deficiencia</w:t>
      </w:r>
      <w:r w:rsidR="0046565A" w:rsidRPr="009F5B57">
        <w:rPr>
          <w:rFonts w:ascii="Times New Roman" w:hAnsi="Times New Roman"/>
          <w:sz w:val="24"/>
          <w:szCs w:val="24"/>
          <w:lang w:val="es-ES"/>
        </w:rPr>
        <w:t xml:space="preserve"> no produce problemas hasta transformarse en anemia</w:t>
      </w:r>
      <w:r w:rsidR="007F0049" w:rsidRPr="009F5B57">
        <w:rPr>
          <w:rFonts w:ascii="Times New Roman" w:hAnsi="Times New Roman"/>
          <w:sz w:val="24"/>
          <w:szCs w:val="24"/>
          <w:lang w:val="es-ES"/>
        </w:rPr>
        <w:t xml:space="preserve"> grave </w:t>
      </w:r>
      <w:r w:rsidR="0046565A" w:rsidRPr="009F5B57">
        <w:rPr>
          <w:rFonts w:ascii="Times New Roman" w:hAnsi="Times New Roman"/>
          <w:sz w:val="24"/>
          <w:szCs w:val="24"/>
          <w:lang w:val="es-ES"/>
        </w:rPr>
        <w:t xml:space="preserve"> </w:t>
      </w:r>
      <w:r w:rsidR="00761E5E" w:rsidRPr="009F5B57">
        <w:rPr>
          <w:rFonts w:ascii="Times New Roman" w:hAnsi="Times New Roman"/>
          <w:sz w:val="24"/>
          <w:szCs w:val="24"/>
          <w:lang w:val="es-ES"/>
        </w:rPr>
        <w:t>(</w:t>
      </w:r>
      <w:r w:rsidR="00DA533B" w:rsidRPr="009F5B57">
        <w:rPr>
          <w:rFonts w:ascii="Times New Roman" w:hAnsi="Times New Roman"/>
          <w:sz w:val="24"/>
          <w:szCs w:val="24"/>
          <w:lang w:val="es-ES"/>
        </w:rPr>
        <w:t>Murray-</w:t>
      </w:r>
      <w:proofErr w:type="spellStart"/>
      <w:r w:rsidR="00DA533B" w:rsidRPr="009F5B57">
        <w:rPr>
          <w:rFonts w:ascii="Times New Roman" w:hAnsi="Times New Roman"/>
          <w:sz w:val="24"/>
          <w:szCs w:val="24"/>
          <w:lang w:val="es-ES"/>
        </w:rPr>
        <w:t>Kolb</w:t>
      </w:r>
      <w:proofErr w:type="spellEnd"/>
      <w:r w:rsidR="00DA533B" w:rsidRPr="009F5B57">
        <w:rPr>
          <w:rFonts w:ascii="Times New Roman" w:hAnsi="Times New Roman"/>
          <w:sz w:val="24"/>
          <w:szCs w:val="24"/>
          <w:lang w:val="es-ES"/>
        </w:rPr>
        <w:t xml:space="preserve">, L., &amp; </w:t>
      </w:r>
      <w:proofErr w:type="spellStart"/>
      <w:r w:rsidR="00DA533B" w:rsidRPr="009F5B57">
        <w:rPr>
          <w:rFonts w:ascii="Times New Roman" w:hAnsi="Times New Roman"/>
          <w:sz w:val="24"/>
          <w:szCs w:val="24"/>
          <w:lang w:val="es-ES"/>
        </w:rPr>
        <w:t>Beard</w:t>
      </w:r>
      <w:proofErr w:type="spellEnd"/>
      <w:r w:rsidR="00DA533B" w:rsidRPr="009F5B57">
        <w:rPr>
          <w:rFonts w:ascii="Times New Roman" w:hAnsi="Times New Roman"/>
          <w:sz w:val="24"/>
          <w:szCs w:val="24"/>
          <w:lang w:val="es-ES"/>
        </w:rPr>
        <w:t>, J. , 2007).</w:t>
      </w:r>
    </w:p>
    <w:p w14:paraId="2DBE6ADF" w14:textId="5BA04358" w:rsidR="0046565A" w:rsidRPr="009F5B57" w:rsidRDefault="0046565A" w:rsidP="009F5B57">
      <w:pPr>
        <w:spacing w:line="360" w:lineRule="auto"/>
        <w:ind w:firstLine="709"/>
        <w:jc w:val="both"/>
        <w:rPr>
          <w:rFonts w:ascii="Times New Roman" w:hAnsi="Times New Roman" w:cs="Times New Roman"/>
          <w:lang w:val="es-ES"/>
        </w:rPr>
      </w:pPr>
      <w:r w:rsidRPr="009F5B57">
        <w:rPr>
          <w:rFonts w:ascii="Times New Roman" w:hAnsi="Times New Roman" w:cs="Times New Roman"/>
          <w:lang w:val="es-ES"/>
        </w:rPr>
        <w:t>Así como e</w:t>
      </w:r>
      <w:r w:rsidR="0067778B" w:rsidRPr="009F5B57">
        <w:rPr>
          <w:rFonts w:ascii="Times New Roman" w:hAnsi="Times New Roman" w:cs="Times New Roman"/>
          <w:lang w:val="es-ES"/>
        </w:rPr>
        <w:t xml:space="preserve">sas investigaciones, hay </w:t>
      </w:r>
      <w:r w:rsidR="007F0049" w:rsidRPr="009F5B57">
        <w:rPr>
          <w:rFonts w:ascii="Times New Roman" w:hAnsi="Times New Roman" w:cs="Times New Roman"/>
          <w:lang w:val="es-ES"/>
        </w:rPr>
        <w:t>otras en las que se relaciona la ane</w:t>
      </w:r>
      <w:r w:rsidR="003A1483" w:rsidRPr="009F5B57">
        <w:rPr>
          <w:rFonts w:ascii="Times New Roman" w:hAnsi="Times New Roman" w:cs="Times New Roman"/>
          <w:lang w:val="es-ES"/>
        </w:rPr>
        <w:t>mia con el rendimiento escolar.</w:t>
      </w:r>
      <w:r w:rsidR="007F0049" w:rsidRPr="009F5B57">
        <w:rPr>
          <w:rFonts w:ascii="Times New Roman" w:hAnsi="Times New Roman" w:cs="Times New Roman"/>
          <w:lang w:val="es-ES"/>
        </w:rPr>
        <w:t xml:space="preserve"> </w:t>
      </w:r>
      <w:r w:rsidR="0067778B" w:rsidRPr="009F5B57">
        <w:rPr>
          <w:rFonts w:ascii="Times New Roman" w:hAnsi="Times New Roman" w:cs="Times New Roman"/>
          <w:lang w:val="es-ES"/>
        </w:rPr>
        <w:t xml:space="preserve">A continuación </w:t>
      </w:r>
      <w:r w:rsidRPr="009F5B57">
        <w:rPr>
          <w:rFonts w:ascii="Times New Roman" w:hAnsi="Times New Roman" w:cs="Times New Roman"/>
          <w:lang w:val="es-ES"/>
        </w:rPr>
        <w:t>se enlistarán algunas de ellas como fundamento de la relación existente entre la anemia y el rendimiento escolar:</w:t>
      </w:r>
    </w:p>
    <w:p w14:paraId="7D16A880" w14:textId="77777777" w:rsidR="0046565A" w:rsidRPr="009F5B57" w:rsidRDefault="0046565A" w:rsidP="009F5B57">
      <w:pPr>
        <w:spacing w:line="360" w:lineRule="auto"/>
        <w:jc w:val="both"/>
        <w:rPr>
          <w:rFonts w:ascii="Times New Roman" w:hAnsi="Times New Roman" w:cs="Times New Roman"/>
          <w:lang w:val="es-ES"/>
        </w:rPr>
      </w:pPr>
    </w:p>
    <w:p w14:paraId="14000E20" w14:textId="5D909CB3" w:rsidR="0046565A" w:rsidRPr="00046388" w:rsidRDefault="0001413E" w:rsidP="00947664">
      <w:pPr>
        <w:pStyle w:val="Prrafodelista"/>
        <w:numPr>
          <w:ilvl w:val="0"/>
          <w:numId w:val="22"/>
        </w:numPr>
        <w:spacing w:line="360" w:lineRule="auto"/>
        <w:ind w:left="426"/>
        <w:jc w:val="both"/>
        <w:rPr>
          <w:rFonts w:ascii="Times New Roman" w:hAnsi="Times New Roman" w:cs="Times New Roman"/>
          <w:lang w:val="es-ES"/>
        </w:rPr>
      </w:pPr>
      <w:r w:rsidRPr="009F5B57">
        <w:rPr>
          <w:rFonts w:ascii="Times New Roman" w:hAnsi="Times New Roman" w:cs="Times New Roman"/>
          <w:lang w:val="es-ES"/>
        </w:rPr>
        <w:t>“</w:t>
      </w:r>
      <w:r w:rsidR="0046565A" w:rsidRPr="009F5B57">
        <w:rPr>
          <w:rFonts w:ascii="Times New Roman" w:hAnsi="Times New Roman" w:cs="Times New Roman"/>
          <w:lang w:val="es-ES"/>
        </w:rPr>
        <w:t>Efecto de la suplementación intermitente</w:t>
      </w:r>
      <w:r w:rsidR="005B186A" w:rsidRPr="009F5B57">
        <w:rPr>
          <w:rFonts w:ascii="Times New Roman" w:hAnsi="Times New Roman" w:cs="Times New Roman"/>
          <w:lang w:val="es-ES"/>
        </w:rPr>
        <w:t>,</w:t>
      </w:r>
      <w:r w:rsidR="0046565A" w:rsidRPr="009F5B57">
        <w:rPr>
          <w:rFonts w:ascii="Times New Roman" w:hAnsi="Times New Roman" w:cs="Times New Roman"/>
          <w:lang w:val="es-ES"/>
        </w:rPr>
        <w:t xml:space="preserve"> a largo plazo</w:t>
      </w:r>
      <w:r w:rsidR="005B186A" w:rsidRPr="009F5B57">
        <w:rPr>
          <w:rFonts w:ascii="Times New Roman" w:hAnsi="Times New Roman" w:cs="Times New Roman"/>
          <w:lang w:val="es-ES"/>
        </w:rPr>
        <w:t>,</w:t>
      </w:r>
      <w:r w:rsidR="0046565A" w:rsidRPr="009F5B57">
        <w:rPr>
          <w:rFonts w:ascii="Times New Roman" w:hAnsi="Times New Roman" w:cs="Times New Roman"/>
          <w:lang w:val="es-ES"/>
        </w:rPr>
        <w:t xml:space="preserve"> con múltiples micronutrientes</w:t>
      </w:r>
      <w:r w:rsidR="005B186A" w:rsidRPr="009F5B57">
        <w:rPr>
          <w:rFonts w:ascii="Times New Roman" w:hAnsi="Times New Roman" w:cs="Times New Roman"/>
          <w:lang w:val="es-ES"/>
        </w:rPr>
        <w:t>,</w:t>
      </w:r>
      <w:r w:rsidR="0046565A" w:rsidRPr="009F5B57">
        <w:rPr>
          <w:rFonts w:ascii="Times New Roman" w:hAnsi="Times New Roman" w:cs="Times New Roman"/>
          <w:lang w:val="es-ES"/>
        </w:rPr>
        <w:t xml:space="preserve"> en comparación con los suplementos de hierro y ácido fólico en la </w:t>
      </w:r>
      <w:proofErr w:type="spellStart"/>
      <w:r w:rsidR="0046565A" w:rsidRPr="009F5B57">
        <w:rPr>
          <w:rFonts w:ascii="Times New Roman" w:hAnsi="Times New Roman" w:cs="Times New Roman"/>
          <w:lang w:val="es-ES"/>
        </w:rPr>
        <w:t>Hb</w:t>
      </w:r>
      <w:proofErr w:type="spellEnd"/>
      <w:r w:rsidR="0046565A" w:rsidRPr="009F5B57">
        <w:rPr>
          <w:rFonts w:ascii="Times New Roman" w:hAnsi="Times New Roman" w:cs="Times New Roman"/>
          <w:lang w:val="es-ES"/>
        </w:rPr>
        <w:t xml:space="preserve"> y el estado de micronutrientes en co</w:t>
      </w:r>
      <w:r w:rsidR="00FA77C1" w:rsidRPr="009F5B57">
        <w:rPr>
          <w:rFonts w:ascii="Times New Roman" w:hAnsi="Times New Roman" w:cs="Times New Roman"/>
          <w:lang w:val="es-ES"/>
        </w:rPr>
        <w:t>legialas adolescentes no anémica</w:t>
      </w:r>
      <w:r w:rsidR="0046565A" w:rsidRPr="009F5B57">
        <w:rPr>
          <w:rFonts w:ascii="Times New Roman" w:hAnsi="Times New Roman" w:cs="Times New Roman"/>
          <w:lang w:val="es-ES"/>
        </w:rPr>
        <w:t>s</w:t>
      </w:r>
      <w:r w:rsidR="005B186A" w:rsidRPr="009F5B57">
        <w:rPr>
          <w:rFonts w:ascii="Times New Roman" w:hAnsi="Times New Roman" w:cs="Times New Roman"/>
          <w:lang w:val="es-ES"/>
        </w:rPr>
        <w:t xml:space="preserve"> en zonas rurales de Bangladesh</w:t>
      </w:r>
      <w:r w:rsidRPr="009F5B57">
        <w:rPr>
          <w:rFonts w:ascii="Times New Roman" w:hAnsi="Times New Roman" w:cs="Times New Roman"/>
          <w:lang w:val="es-ES"/>
        </w:rPr>
        <w:t>”</w:t>
      </w:r>
      <w:r w:rsidR="005B186A" w:rsidRPr="009F5B57">
        <w:rPr>
          <w:rFonts w:ascii="Times New Roman" w:hAnsi="Times New Roman" w:cs="Times New Roman"/>
          <w:lang w:val="es-ES"/>
        </w:rPr>
        <w:t xml:space="preserve"> (</w:t>
      </w:r>
      <w:proofErr w:type="spellStart"/>
      <w:r w:rsidR="0046565A" w:rsidRPr="009F5B57">
        <w:rPr>
          <w:rFonts w:ascii="Times New Roman" w:hAnsi="Times New Roman" w:cs="Times New Roman"/>
          <w:lang w:val="es-ES"/>
        </w:rPr>
        <w:t>Faruk</w:t>
      </w:r>
      <w:proofErr w:type="spellEnd"/>
      <w:r w:rsidR="0046565A" w:rsidRPr="009F5B57">
        <w:rPr>
          <w:rFonts w:ascii="Times New Roman" w:hAnsi="Times New Roman" w:cs="Times New Roman"/>
          <w:lang w:val="es-ES"/>
        </w:rPr>
        <w:t xml:space="preserve"> Ahmed, </w:t>
      </w:r>
      <w:proofErr w:type="spellStart"/>
      <w:r w:rsidR="0046565A" w:rsidRPr="009F5B57">
        <w:rPr>
          <w:rFonts w:ascii="Times New Roman" w:hAnsi="Times New Roman" w:cs="Times New Roman"/>
          <w:lang w:val="es-ES"/>
        </w:rPr>
        <w:t>Moududur</w:t>
      </w:r>
      <w:proofErr w:type="spellEnd"/>
      <w:r w:rsidR="0046565A" w:rsidRPr="009F5B57">
        <w:rPr>
          <w:rFonts w:ascii="Times New Roman" w:hAnsi="Times New Roman" w:cs="Times New Roman"/>
          <w:lang w:val="es-ES"/>
        </w:rPr>
        <w:t xml:space="preserve"> R. </w:t>
      </w:r>
      <w:proofErr w:type="spellStart"/>
      <w:r w:rsidR="0046565A" w:rsidRPr="009F5B57">
        <w:rPr>
          <w:rFonts w:ascii="Times New Roman" w:hAnsi="Times New Roman" w:cs="Times New Roman"/>
          <w:lang w:val="es-ES"/>
        </w:rPr>
        <w:t>Khan</w:t>
      </w:r>
      <w:proofErr w:type="spellEnd"/>
      <w:r w:rsidR="0046565A" w:rsidRPr="009F5B57">
        <w:rPr>
          <w:rFonts w:ascii="Times New Roman" w:hAnsi="Times New Roman" w:cs="Times New Roman"/>
          <w:lang w:val="es-ES"/>
        </w:rPr>
        <w:t xml:space="preserve">, </w:t>
      </w:r>
      <w:proofErr w:type="spellStart"/>
      <w:r w:rsidR="0046565A" w:rsidRPr="009F5B57">
        <w:rPr>
          <w:rFonts w:ascii="Times New Roman" w:hAnsi="Times New Roman" w:cs="Times New Roman"/>
          <w:lang w:val="es-ES"/>
        </w:rPr>
        <w:t>Mohammad</w:t>
      </w:r>
      <w:proofErr w:type="spellEnd"/>
      <w:r w:rsidR="0046565A" w:rsidRPr="009F5B57">
        <w:rPr>
          <w:rFonts w:ascii="Times New Roman" w:hAnsi="Times New Roman" w:cs="Times New Roman"/>
          <w:lang w:val="es-ES"/>
        </w:rPr>
        <w:t xml:space="preserve"> </w:t>
      </w:r>
      <w:proofErr w:type="spellStart"/>
      <w:r w:rsidR="0046565A" w:rsidRPr="009F5B57">
        <w:rPr>
          <w:rFonts w:ascii="Times New Roman" w:hAnsi="Times New Roman" w:cs="Times New Roman"/>
          <w:lang w:val="es-ES"/>
        </w:rPr>
        <w:t>Akhtaruzzaman</w:t>
      </w:r>
      <w:proofErr w:type="spellEnd"/>
      <w:r w:rsidR="0046565A" w:rsidRPr="009F5B57">
        <w:rPr>
          <w:rFonts w:ascii="Times New Roman" w:hAnsi="Times New Roman" w:cs="Times New Roman"/>
          <w:lang w:val="es-ES"/>
        </w:rPr>
        <w:t xml:space="preserve">, </w:t>
      </w:r>
      <w:proofErr w:type="spellStart"/>
      <w:r w:rsidR="0046565A" w:rsidRPr="009F5B57">
        <w:rPr>
          <w:rFonts w:ascii="Times New Roman" w:hAnsi="Times New Roman" w:cs="Times New Roman"/>
          <w:lang w:val="es-ES"/>
        </w:rPr>
        <w:t>Rezaul</w:t>
      </w:r>
      <w:proofErr w:type="spellEnd"/>
      <w:r w:rsidR="0046565A" w:rsidRPr="009F5B57">
        <w:rPr>
          <w:rFonts w:ascii="Times New Roman" w:hAnsi="Times New Roman" w:cs="Times New Roman"/>
          <w:lang w:val="es-ES"/>
        </w:rPr>
        <w:t xml:space="preserve"> Karim2, Gail Williams, Cadi P. </w:t>
      </w:r>
      <w:proofErr w:type="spellStart"/>
      <w:r w:rsidR="0046565A" w:rsidRPr="009F5B57">
        <w:rPr>
          <w:rFonts w:ascii="Times New Roman" w:hAnsi="Times New Roman" w:cs="Times New Roman"/>
          <w:lang w:val="es-ES"/>
        </w:rPr>
        <w:t>Banu</w:t>
      </w:r>
      <w:proofErr w:type="spellEnd"/>
      <w:r w:rsidR="0046565A" w:rsidRPr="009F5B57">
        <w:rPr>
          <w:rFonts w:ascii="Times New Roman" w:hAnsi="Times New Roman" w:cs="Times New Roman"/>
          <w:lang w:val="es-ES"/>
        </w:rPr>
        <w:t xml:space="preserve">, </w:t>
      </w:r>
      <w:proofErr w:type="spellStart"/>
      <w:r w:rsidR="0046565A" w:rsidRPr="009F5B57">
        <w:rPr>
          <w:rFonts w:ascii="Times New Roman" w:hAnsi="Times New Roman" w:cs="Times New Roman"/>
          <w:lang w:val="es-ES"/>
        </w:rPr>
        <w:t>Badrun</w:t>
      </w:r>
      <w:proofErr w:type="spellEnd"/>
      <w:r w:rsidR="0046565A" w:rsidRPr="009F5B57">
        <w:rPr>
          <w:rFonts w:ascii="Times New Roman" w:hAnsi="Times New Roman" w:cs="Times New Roman"/>
          <w:lang w:val="es-ES"/>
        </w:rPr>
        <w:t xml:space="preserve"> </w:t>
      </w:r>
      <w:proofErr w:type="spellStart"/>
      <w:r w:rsidR="0046565A" w:rsidRPr="009F5B57">
        <w:rPr>
          <w:rFonts w:ascii="Times New Roman" w:hAnsi="Times New Roman" w:cs="Times New Roman"/>
          <w:lang w:val="es-ES"/>
        </w:rPr>
        <w:t>Nahar</w:t>
      </w:r>
      <w:proofErr w:type="spellEnd"/>
      <w:r w:rsidR="0046565A" w:rsidRPr="009F5B57">
        <w:rPr>
          <w:rFonts w:ascii="Times New Roman" w:hAnsi="Times New Roman" w:cs="Times New Roman"/>
          <w:lang w:val="es-ES"/>
        </w:rPr>
        <w:t xml:space="preserve"> and </w:t>
      </w:r>
      <w:proofErr w:type="spellStart"/>
      <w:r w:rsidR="0046565A" w:rsidRPr="009F5B57">
        <w:rPr>
          <w:rFonts w:ascii="Times New Roman" w:hAnsi="Times New Roman" w:cs="Times New Roman"/>
          <w:lang w:val="es-ES"/>
        </w:rPr>
        <w:t>Ian</w:t>
      </w:r>
      <w:proofErr w:type="spellEnd"/>
      <w:r w:rsidR="0046565A" w:rsidRPr="009F5B57">
        <w:rPr>
          <w:rFonts w:ascii="Times New Roman" w:hAnsi="Times New Roman" w:cs="Times New Roman"/>
          <w:lang w:val="es-ES"/>
        </w:rPr>
        <w:t xml:space="preserve"> </w:t>
      </w:r>
      <w:proofErr w:type="spellStart"/>
      <w:r w:rsidR="0046565A" w:rsidRPr="009F5B57">
        <w:rPr>
          <w:rFonts w:ascii="Times New Roman" w:hAnsi="Times New Roman" w:cs="Times New Roman"/>
          <w:lang w:val="es-ES"/>
        </w:rPr>
        <w:t>Darnton</w:t>
      </w:r>
      <w:proofErr w:type="spellEnd"/>
      <w:r w:rsidR="0046565A" w:rsidRPr="009F5B57">
        <w:rPr>
          <w:rFonts w:ascii="Times New Roman" w:hAnsi="Times New Roman" w:cs="Times New Roman"/>
          <w:lang w:val="es-ES"/>
        </w:rPr>
        <w:t>-Hill</w:t>
      </w:r>
      <w:r w:rsidR="005B186A" w:rsidRPr="009F5B57">
        <w:rPr>
          <w:rFonts w:ascii="Times New Roman" w:hAnsi="Times New Roman" w:cs="Times New Roman"/>
          <w:lang w:val="es-ES"/>
        </w:rPr>
        <w:t xml:space="preserve"> </w:t>
      </w:r>
      <w:r w:rsidR="00DA533B" w:rsidRPr="009F5B57">
        <w:rPr>
          <w:rFonts w:ascii="Times New Roman" w:hAnsi="Times New Roman" w:cs="Times New Roman"/>
          <w:lang w:val="es-ES"/>
        </w:rPr>
        <w:t>2011)</w:t>
      </w:r>
      <w:r w:rsidR="0046565A" w:rsidRPr="009F5B57">
        <w:rPr>
          <w:rFonts w:ascii="Times New Roman" w:hAnsi="Times New Roman" w:cs="Times New Roman"/>
          <w:lang w:val="es-ES"/>
        </w:rPr>
        <w:t>.</w:t>
      </w:r>
      <w:r w:rsidR="005B186A" w:rsidRPr="009F5B57">
        <w:rPr>
          <w:rFonts w:ascii="Times New Roman" w:hAnsi="Times New Roman" w:cs="Times New Roman"/>
          <w:lang w:val="es-ES"/>
        </w:rPr>
        <w:t xml:space="preserve"> </w:t>
      </w:r>
      <w:r w:rsidR="0046565A" w:rsidRPr="00F93A5B">
        <w:rPr>
          <w:rFonts w:ascii="Times New Roman" w:hAnsi="Times New Roman" w:cs="Times New Roman"/>
          <w:lang w:val="es-ES"/>
        </w:rPr>
        <w:t>Se elaboró un estudio en donde se examina la implementación a largo plazo de micronutrientes</w:t>
      </w:r>
      <w:r w:rsidR="007F0049" w:rsidRPr="00F93A5B">
        <w:rPr>
          <w:rFonts w:ascii="Times New Roman" w:hAnsi="Times New Roman" w:cs="Times New Roman"/>
          <w:lang w:val="es-ES"/>
        </w:rPr>
        <w:t>,</w:t>
      </w:r>
      <w:r w:rsidR="0046565A" w:rsidRPr="00F93A5B">
        <w:rPr>
          <w:rFonts w:ascii="Times New Roman" w:hAnsi="Times New Roman" w:cs="Times New Roman"/>
          <w:lang w:val="es-ES"/>
        </w:rPr>
        <w:t xml:space="preserve"> dos veces por semana. La muestra fue de 324 estudiantes de 11-17 año</w:t>
      </w:r>
      <w:r w:rsidR="00FA77C1" w:rsidRPr="00F93A5B">
        <w:rPr>
          <w:rFonts w:ascii="Times New Roman" w:hAnsi="Times New Roman" w:cs="Times New Roman"/>
          <w:lang w:val="es-ES"/>
        </w:rPr>
        <w:t>s a lo largo de 52 semanas y s</w:t>
      </w:r>
      <w:r w:rsidR="0046565A" w:rsidRPr="00F93A5B">
        <w:rPr>
          <w:rFonts w:ascii="Times New Roman" w:hAnsi="Times New Roman" w:cs="Times New Roman"/>
          <w:lang w:val="es-ES"/>
        </w:rPr>
        <w:t>e hace diferencia de los micronutrientes otorgados a cada niña dependiendo del estado o nivel de anemia que ten</w:t>
      </w:r>
      <w:r w:rsidR="005B186A" w:rsidRPr="00F93A5B">
        <w:rPr>
          <w:rFonts w:ascii="Times New Roman" w:hAnsi="Times New Roman" w:cs="Times New Roman"/>
          <w:lang w:val="es-ES"/>
        </w:rPr>
        <w:t>ían</w:t>
      </w:r>
      <w:r w:rsidR="0046565A" w:rsidRPr="00F93A5B">
        <w:rPr>
          <w:rFonts w:ascii="Times New Roman" w:hAnsi="Times New Roman" w:cs="Times New Roman"/>
          <w:lang w:val="es-ES"/>
        </w:rPr>
        <w:t>. Se encontró que al otorgar los suplementos se observaron resultados positivos, no obstante</w:t>
      </w:r>
      <w:r w:rsidR="007F0049" w:rsidRPr="00F93A5B">
        <w:rPr>
          <w:rFonts w:ascii="Times New Roman" w:hAnsi="Times New Roman" w:cs="Times New Roman"/>
          <w:lang w:val="es-ES"/>
        </w:rPr>
        <w:t>,</w:t>
      </w:r>
      <w:r w:rsidR="0046565A" w:rsidRPr="00F93A5B">
        <w:rPr>
          <w:rFonts w:ascii="Times New Roman" w:hAnsi="Times New Roman" w:cs="Times New Roman"/>
          <w:lang w:val="es-ES"/>
        </w:rPr>
        <w:t xml:space="preserve"> a partir de la seman</w:t>
      </w:r>
      <w:r w:rsidR="00FA77C1" w:rsidRPr="00F93A5B">
        <w:rPr>
          <w:rFonts w:ascii="Times New Roman" w:hAnsi="Times New Roman" w:cs="Times New Roman"/>
          <w:lang w:val="es-ES"/>
        </w:rPr>
        <w:t xml:space="preserve">a 26 ya no </w:t>
      </w:r>
      <w:r w:rsidR="007F0049" w:rsidRPr="00F93A5B">
        <w:rPr>
          <w:rFonts w:ascii="Times New Roman" w:hAnsi="Times New Roman" w:cs="Times New Roman"/>
          <w:lang w:val="es-ES"/>
        </w:rPr>
        <w:t xml:space="preserve">se manifestó progreso en cuanto a la concentración mental de los estudiantes, sin importar si continuaban </w:t>
      </w:r>
      <w:r w:rsidR="005B186A" w:rsidRPr="00F93A5B">
        <w:rPr>
          <w:rFonts w:ascii="Times New Roman" w:hAnsi="Times New Roman" w:cs="Times New Roman"/>
          <w:lang w:val="es-ES"/>
        </w:rPr>
        <w:t xml:space="preserve">o no, </w:t>
      </w:r>
      <w:r w:rsidR="007F0049" w:rsidRPr="00F93A5B">
        <w:rPr>
          <w:rFonts w:ascii="Times New Roman" w:hAnsi="Times New Roman" w:cs="Times New Roman"/>
          <w:lang w:val="es-ES"/>
        </w:rPr>
        <w:t xml:space="preserve">con la disminución </w:t>
      </w:r>
      <w:r w:rsidR="0046565A" w:rsidRPr="00F93A5B">
        <w:rPr>
          <w:rFonts w:ascii="Times New Roman" w:hAnsi="Times New Roman" w:cs="Times New Roman"/>
          <w:lang w:val="es-ES"/>
        </w:rPr>
        <w:t xml:space="preserve">en </w:t>
      </w:r>
      <w:r w:rsidR="007F0049" w:rsidRPr="00F93A5B">
        <w:rPr>
          <w:rFonts w:ascii="Times New Roman" w:hAnsi="Times New Roman" w:cs="Times New Roman"/>
          <w:lang w:val="es-ES"/>
        </w:rPr>
        <w:t xml:space="preserve">su  </w:t>
      </w:r>
      <w:r w:rsidR="0046565A" w:rsidRPr="00F93A5B">
        <w:rPr>
          <w:rFonts w:ascii="Times New Roman" w:hAnsi="Times New Roman" w:cs="Times New Roman"/>
          <w:lang w:val="es-ES"/>
        </w:rPr>
        <w:t>deficiencia de hierro</w:t>
      </w:r>
      <w:r w:rsidR="00513CAC" w:rsidRPr="00F93A5B">
        <w:rPr>
          <w:rFonts w:ascii="Times New Roman" w:hAnsi="Times New Roman" w:cs="Times New Roman"/>
          <w:lang w:val="es-ES"/>
        </w:rPr>
        <w:t>.</w:t>
      </w:r>
    </w:p>
    <w:p w14:paraId="2C76EA53" w14:textId="77777777" w:rsidR="0001413E" w:rsidRPr="009F5B57" w:rsidRDefault="0001413E" w:rsidP="009F5B57">
      <w:pPr>
        <w:spacing w:line="360" w:lineRule="auto"/>
        <w:ind w:left="1418"/>
        <w:jc w:val="both"/>
        <w:rPr>
          <w:rFonts w:ascii="Times New Roman" w:hAnsi="Times New Roman" w:cs="Times New Roman"/>
          <w:lang w:val="es-ES"/>
        </w:rPr>
      </w:pPr>
    </w:p>
    <w:p w14:paraId="720BDE3A" w14:textId="105E46B6" w:rsidR="0046565A" w:rsidRPr="00F93A5B" w:rsidRDefault="006643B9" w:rsidP="00F93A5B">
      <w:pPr>
        <w:pStyle w:val="Prrafodelista"/>
        <w:numPr>
          <w:ilvl w:val="0"/>
          <w:numId w:val="6"/>
        </w:numPr>
        <w:spacing w:line="360" w:lineRule="auto"/>
        <w:ind w:left="360"/>
        <w:jc w:val="both"/>
        <w:rPr>
          <w:rFonts w:ascii="Times New Roman" w:hAnsi="Times New Roman" w:cs="Times New Roman"/>
          <w:lang w:val="es-MX"/>
        </w:rPr>
      </w:pPr>
      <w:r w:rsidRPr="009F5B57">
        <w:rPr>
          <w:rFonts w:ascii="Times New Roman" w:hAnsi="Times New Roman" w:cs="Times New Roman"/>
          <w:lang w:val="es-ES"/>
        </w:rPr>
        <w:t xml:space="preserve"> </w:t>
      </w:r>
      <w:r w:rsidR="0046565A" w:rsidRPr="009F5B57">
        <w:rPr>
          <w:rFonts w:ascii="Times New Roman" w:hAnsi="Times New Roman" w:cs="Times New Roman"/>
          <w:lang w:val="es-ES"/>
        </w:rPr>
        <w:t>El rendimiento escolar en las niñas adolescentes de Jamaica: asociaciones con la salud, características sociales y de</w:t>
      </w:r>
      <w:r w:rsidR="00FA77C1" w:rsidRPr="009F5B57">
        <w:rPr>
          <w:rFonts w:ascii="Times New Roman" w:hAnsi="Times New Roman" w:cs="Times New Roman"/>
          <w:lang w:val="es-ES"/>
        </w:rPr>
        <w:t xml:space="preserve"> comportamiento</w:t>
      </w:r>
      <w:r w:rsidR="0046565A" w:rsidRPr="009F5B57">
        <w:rPr>
          <w:rFonts w:ascii="Times New Roman" w:hAnsi="Times New Roman" w:cs="Times New Roman"/>
          <w:lang w:val="es-ES"/>
        </w:rPr>
        <w:t xml:space="preserve"> y los factores de riesgo de los abandonos</w:t>
      </w:r>
      <w:r w:rsidR="005B186A" w:rsidRPr="009F5B57">
        <w:rPr>
          <w:rFonts w:ascii="Times New Roman" w:hAnsi="Times New Roman" w:cs="Times New Roman"/>
          <w:lang w:val="es-ES"/>
        </w:rPr>
        <w:t xml:space="preserve"> (</w:t>
      </w:r>
      <w:r w:rsidR="0046565A" w:rsidRPr="009F5B57">
        <w:rPr>
          <w:rFonts w:ascii="Times New Roman" w:hAnsi="Times New Roman" w:cs="Times New Roman"/>
          <w:lang w:val="es-MX"/>
        </w:rPr>
        <w:t>Walker SP, Grantham-McGregor SM, Himes JH, Williams S, Duff EM.</w:t>
      </w:r>
      <w:r w:rsidR="00326A8A" w:rsidRPr="009F5B57">
        <w:rPr>
          <w:rFonts w:ascii="Times New Roman" w:hAnsi="Times New Roman" w:cs="Times New Roman"/>
          <w:lang w:val="es-MX"/>
        </w:rPr>
        <w:t>, 1998</w:t>
      </w:r>
      <w:r w:rsidR="005B186A" w:rsidRPr="009F5B57">
        <w:rPr>
          <w:rFonts w:ascii="Times New Roman" w:hAnsi="Times New Roman" w:cs="Times New Roman"/>
          <w:lang w:val="es-MX"/>
        </w:rPr>
        <w:t>).</w:t>
      </w:r>
      <w:r w:rsidR="00F93A5B">
        <w:rPr>
          <w:rFonts w:ascii="Times New Roman" w:hAnsi="Times New Roman" w:cs="Times New Roman"/>
          <w:lang w:val="es-MX"/>
        </w:rPr>
        <w:t xml:space="preserve"> </w:t>
      </w:r>
      <w:r w:rsidR="0046565A" w:rsidRPr="00F93A5B">
        <w:rPr>
          <w:rFonts w:ascii="Times New Roman" w:hAnsi="Times New Roman" w:cs="Times New Roman"/>
          <w:lang w:val="es-ES"/>
        </w:rPr>
        <w:t xml:space="preserve">Se realizó un estudio a 452 mujeres en donde se investigó su estado nutricional y su historial de salud. Se encontró que aquellas que tenían anemia eran las niñas que podían tener un desarrollo pobre en la escuela, baja atención y problemas sociales como actividad sexual a temprana edad y problemas con los padres de familia. </w:t>
      </w:r>
    </w:p>
    <w:p w14:paraId="4C5947C3" w14:textId="77777777" w:rsidR="0046565A" w:rsidRPr="009F5B57" w:rsidRDefault="0046565A" w:rsidP="009F5B57">
      <w:pPr>
        <w:pStyle w:val="Prrafodelista"/>
        <w:spacing w:line="360" w:lineRule="auto"/>
        <w:ind w:left="360"/>
        <w:jc w:val="both"/>
        <w:rPr>
          <w:rFonts w:ascii="Times New Roman" w:hAnsi="Times New Roman" w:cs="Times New Roman"/>
          <w:lang w:val="es-ES"/>
        </w:rPr>
      </w:pPr>
    </w:p>
    <w:p w14:paraId="0DB32179" w14:textId="682B972D" w:rsidR="0046565A" w:rsidRPr="00F93A5B" w:rsidRDefault="0046565A" w:rsidP="00F93A5B">
      <w:pPr>
        <w:pStyle w:val="Prrafodelista"/>
        <w:numPr>
          <w:ilvl w:val="0"/>
          <w:numId w:val="6"/>
        </w:numPr>
        <w:spacing w:line="360" w:lineRule="auto"/>
        <w:ind w:left="360"/>
        <w:jc w:val="both"/>
        <w:rPr>
          <w:rFonts w:ascii="Times New Roman" w:hAnsi="Times New Roman" w:cs="Times New Roman"/>
          <w:lang w:val="es-ES"/>
        </w:rPr>
      </w:pPr>
      <w:r w:rsidRPr="009F5B57">
        <w:rPr>
          <w:rFonts w:ascii="Times New Roman" w:hAnsi="Times New Roman" w:cs="Times New Roman"/>
          <w:lang w:val="es-ES"/>
        </w:rPr>
        <w:lastRenderedPageBreak/>
        <w:t>Grupo de estudio</w:t>
      </w:r>
      <w:r w:rsidR="005B3FD2" w:rsidRPr="009F5B57">
        <w:rPr>
          <w:rFonts w:ascii="Times New Roman" w:hAnsi="Times New Roman" w:cs="Times New Roman"/>
          <w:lang w:val="es-ES"/>
        </w:rPr>
        <w:t>:</w:t>
      </w:r>
      <w:r w:rsidRPr="009F5B57">
        <w:rPr>
          <w:rFonts w:ascii="Times New Roman" w:hAnsi="Times New Roman" w:cs="Times New Roman"/>
          <w:lang w:val="es-ES"/>
        </w:rPr>
        <w:t xml:space="preserve"> Efecto de una intervención de micronutrientes en el aprendizaje y la memoria en los niños en edad escolar bien nutridos y alimentados marginalmente: en paralelo, estudios aleatorizados, controlados con pl</w:t>
      </w:r>
      <w:r w:rsidR="006643B9" w:rsidRPr="009F5B57">
        <w:rPr>
          <w:rFonts w:ascii="Times New Roman" w:hAnsi="Times New Roman" w:cs="Times New Roman"/>
          <w:lang w:val="es-ES"/>
        </w:rPr>
        <w:t xml:space="preserve">acebo en Australia e Indonesia. </w:t>
      </w:r>
      <w:r w:rsidR="00115B73" w:rsidRPr="009F5B57">
        <w:rPr>
          <w:rFonts w:ascii="Times New Roman" w:hAnsi="Times New Roman" w:cs="Times New Roman"/>
          <w:lang w:val="es-ES"/>
        </w:rPr>
        <w:t>(</w:t>
      </w:r>
      <w:r w:rsidRPr="009F5B57">
        <w:rPr>
          <w:rFonts w:ascii="Times New Roman" w:hAnsi="Times New Roman" w:cs="Times New Roman"/>
          <w:lang w:val="es-ES"/>
        </w:rPr>
        <w:t>NEMO</w:t>
      </w:r>
      <w:r w:rsidR="00115B73" w:rsidRPr="009F5B57">
        <w:rPr>
          <w:rFonts w:ascii="Times New Roman" w:hAnsi="Times New Roman" w:cs="Times New Roman"/>
          <w:lang w:val="es-ES"/>
        </w:rPr>
        <w:t xml:space="preserve">, </w:t>
      </w:r>
      <w:r w:rsidR="00DA533B" w:rsidRPr="009F5B57">
        <w:rPr>
          <w:rFonts w:ascii="Times New Roman" w:hAnsi="Times New Roman" w:cs="Times New Roman"/>
          <w:lang w:val="es-ES"/>
        </w:rPr>
        <w:t>2007)</w:t>
      </w:r>
      <w:r w:rsidR="006643B9" w:rsidRPr="009F5B57">
        <w:rPr>
          <w:rFonts w:ascii="Times New Roman" w:hAnsi="Times New Roman" w:cs="Times New Roman"/>
          <w:lang w:val="es-ES"/>
        </w:rPr>
        <w:t>.</w:t>
      </w:r>
      <w:r w:rsidR="00F93A5B">
        <w:rPr>
          <w:rFonts w:ascii="Times New Roman" w:hAnsi="Times New Roman" w:cs="Times New Roman"/>
          <w:lang w:val="es-ES"/>
        </w:rPr>
        <w:t xml:space="preserve"> </w:t>
      </w:r>
      <w:r w:rsidRPr="00F93A5B">
        <w:rPr>
          <w:rFonts w:ascii="Times New Roman" w:hAnsi="Times New Roman" w:cs="Times New Roman"/>
          <w:lang w:val="es-ES"/>
        </w:rPr>
        <w:t xml:space="preserve">Se estudió en los niños de edad escolar de 6 a 10 años el efecto que tiene una alimentación con micronutrientes y grasas. El experimento fue llevado </w:t>
      </w:r>
      <w:r w:rsidR="0001413E" w:rsidRPr="00F93A5B">
        <w:rPr>
          <w:rFonts w:ascii="Times New Roman" w:hAnsi="Times New Roman" w:cs="Times New Roman"/>
          <w:lang w:val="es-ES"/>
        </w:rPr>
        <w:t xml:space="preserve">a cabo </w:t>
      </w:r>
      <w:r w:rsidRPr="00F93A5B">
        <w:rPr>
          <w:rFonts w:ascii="Times New Roman" w:hAnsi="Times New Roman" w:cs="Times New Roman"/>
          <w:lang w:val="es-ES"/>
        </w:rPr>
        <w:t>en Australia e Indonesia. Al recibir por 12 meses los nutrientes, los niños presentaron una mayor concentración y aumentaron su puntuación en la representación de las pruebas de aprendizaje y memoria verbal en Australia con un IC 95%, por lo tanto la</w:t>
      </w:r>
      <w:r w:rsidR="00FA77C1" w:rsidRPr="00F93A5B">
        <w:rPr>
          <w:rFonts w:ascii="Times New Roman" w:hAnsi="Times New Roman" w:cs="Times New Roman"/>
          <w:lang w:val="es-ES"/>
        </w:rPr>
        <w:t xml:space="preserve"> conclusión fue que la buena nu</w:t>
      </w:r>
      <w:r w:rsidR="006C0125" w:rsidRPr="00F93A5B">
        <w:rPr>
          <w:rFonts w:ascii="Times New Roman" w:hAnsi="Times New Roman" w:cs="Times New Roman"/>
          <w:lang w:val="es-ES"/>
        </w:rPr>
        <w:t>trición mejora  la capacidad de</w:t>
      </w:r>
      <w:r w:rsidRPr="00F93A5B">
        <w:rPr>
          <w:rFonts w:ascii="Times New Roman" w:hAnsi="Times New Roman" w:cs="Times New Roman"/>
          <w:lang w:val="es-ES"/>
        </w:rPr>
        <w:t xml:space="preserve"> aprendizaje y la memoria.</w:t>
      </w:r>
      <w:r w:rsidR="00513CAC" w:rsidRPr="00F93A5B">
        <w:rPr>
          <w:rFonts w:ascii="Times New Roman" w:hAnsi="Times New Roman" w:cs="Times New Roman"/>
          <w:lang w:val="es-ES"/>
        </w:rPr>
        <w:t xml:space="preserve"> </w:t>
      </w:r>
    </w:p>
    <w:p w14:paraId="4D572B72" w14:textId="77777777" w:rsidR="0046565A" w:rsidRPr="00695261" w:rsidRDefault="0046565A" w:rsidP="00695261">
      <w:pPr>
        <w:spacing w:line="360" w:lineRule="auto"/>
        <w:rPr>
          <w:rFonts w:ascii="Times New Roman" w:hAnsi="Times New Roman" w:cs="Times New Roman"/>
        </w:rPr>
      </w:pPr>
    </w:p>
    <w:p w14:paraId="7210908B" w14:textId="7B90AE3C" w:rsidR="0046565A" w:rsidRPr="00695261" w:rsidRDefault="0046565A" w:rsidP="00695261">
      <w:pPr>
        <w:pStyle w:val="Prrafodelista"/>
        <w:numPr>
          <w:ilvl w:val="1"/>
          <w:numId w:val="23"/>
        </w:numPr>
        <w:spacing w:line="360" w:lineRule="auto"/>
        <w:rPr>
          <w:rFonts w:ascii="Times New Roman" w:hAnsi="Times New Roman" w:cs="Times New Roman"/>
          <w:i/>
        </w:rPr>
      </w:pPr>
      <w:r w:rsidRPr="006019EE">
        <w:rPr>
          <w:rFonts w:ascii="Times New Roman" w:hAnsi="Times New Roman" w:cs="Times New Roman"/>
          <w:i/>
        </w:rPr>
        <w:t>La anemia como posible factor que contribuye a la deserción escolar en México</w:t>
      </w:r>
    </w:p>
    <w:p w14:paraId="0086271A" w14:textId="10DD7860" w:rsidR="0046565A" w:rsidRPr="009F5B57" w:rsidRDefault="0046565A" w:rsidP="009F5B57">
      <w:pPr>
        <w:spacing w:line="360" w:lineRule="auto"/>
        <w:ind w:firstLine="709"/>
        <w:jc w:val="both"/>
        <w:rPr>
          <w:rFonts w:ascii="Times New Roman" w:hAnsi="Times New Roman" w:cs="Times New Roman"/>
          <w:lang w:val="es-ES"/>
        </w:rPr>
      </w:pPr>
      <w:r w:rsidRPr="009F5B57">
        <w:rPr>
          <w:rFonts w:ascii="Times New Roman" w:hAnsi="Times New Roman" w:cs="Times New Roman"/>
          <w:lang w:val="es-ES"/>
        </w:rPr>
        <w:t>En 2015 México contaba con 119 millones de habitantes de los cuales</w:t>
      </w:r>
      <w:r w:rsidR="0001413E" w:rsidRPr="009F5B57">
        <w:rPr>
          <w:rFonts w:ascii="Times New Roman" w:hAnsi="Times New Roman" w:cs="Times New Roman"/>
          <w:lang w:val="es-ES"/>
        </w:rPr>
        <w:t xml:space="preserve"> 5 581 874 son niños y 5 415 315 son niñas</w:t>
      </w:r>
      <w:r w:rsidR="00722E51" w:rsidRPr="009F5B57">
        <w:rPr>
          <w:rFonts w:ascii="Times New Roman" w:hAnsi="Times New Roman" w:cs="Times New Roman"/>
          <w:lang w:val="es-ES"/>
        </w:rPr>
        <w:t xml:space="preserve"> de la edad de 5 a 9 años y</w:t>
      </w:r>
      <w:r w:rsidR="0001413E" w:rsidRPr="009F5B57">
        <w:rPr>
          <w:rFonts w:ascii="Times New Roman" w:hAnsi="Times New Roman" w:cs="Times New Roman"/>
          <w:lang w:val="es-ES"/>
        </w:rPr>
        <w:t xml:space="preserve"> 5 676 831 son niños y 5 551 401 son niñas,  con rangos de </w:t>
      </w:r>
      <w:r w:rsidRPr="009F5B57">
        <w:rPr>
          <w:rFonts w:ascii="Times New Roman" w:hAnsi="Times New Roman" w:cs="Times New Roman"/>
          <w:lang w:val="es-ES"/>
        </w:rPr>
        <w:t>edad de 10-14 años</w:t>
      </w:r>
      <w:r w:rsidR="00513CAC" w:rsidRPr="009F5B57">
        <w:rPr>
          <w:rFonts w:ascii="Times New Roman" w:hAnsi="Times New Roman" w:cs="Times New Roman"/>
          <w:lang w:val="es-ES"/>
        </w:rPr>
        <w:t xml:space="preserve">. </w:t>
      </w:r>
      <w:r w:rsidR="00DA533B" w:rsidRPr="009F5B57">
        <w:rPr>
          <w:rFonts w:ascii="Times New Roman" w:hAnsi="Times New Roman" w:cs="Times New Roman"/>
          <w:lang w:val="es-ES"/>
        </w:rPr>
        <w:t>(INEGI, 2015)</w:t>
      </w:r>
    </w:p>
    <w:p w14:paraId="3596B4A3" w14:textId="77777777" w:rsidR="0046565A" w:rsidRPr="009F5B57" w:rsidRDefault="0046565A" w:rsidP="009F5B57">
      <w:pPr>
        <w:spacing w:line="360" w:lineRule="auto"/>
        <w:ind w:firstLine="709"/>
        <w:jc w:val="both"/>
        <w:rPr>
          <w:rFonts w:ascii="Times New Roman" w:hAnsi="Times New Roman" w:cs="Times New Roman"/>
          <w:lang w:val="es-ES"/>
        </w:rPr>
      </w:pPr>
    </w:p>
    <w:p w14:paraId="6EEB70F0" w14:textId="77777777" w:rsidR="00A05DD5" w:rsidRPr="009F5B57" w:rsidRDefault="0046565A" w:rsidP="009F5B57">
      <w:pPr>
        <w:spacing w:line="360" w:lineRule="auto"/>
        <w:ind w:firstLine="709"/>
        <w:jc w:val="both"/>
        <w:rPr>
          <w:rFonts w:ascii="Times New Roman" w:hAnsi="Times New Roman" w:cs="Times New Roman"/>
          <w:lang w:val="es-ES"/>
        </w:rPr>
      </w:pPr>
      <w:r w:rsidRPr="009F5B57">
        <w:rPr>
          <w:rFonts w:ascii="Times New Roman" w:hAnsi="Times New Roman" w:cs="Times New Roman"/>
          <w:lang w:val="es-ES"/>
        </w:rPr>
        <w:t xml:space="preserve">El país tiene grandes contrastes, déficits sociales y niveles de pobreza que están por arriba de lo que se esperaría de acuerdo al desarrollo que </w:t>
      </w:r>
      <w:r w:rsidR="0001413E" w:rsidRPr="009F5B57">
        <w:rPr>
          <w:rFonts w:ascii="Times New Roman" w:hAnsi="Times New Roman" w:cs="Times New Roman"/>
          <w:lang w:val="es-ES"/>
        </w:rPr>
        <w:t xml:space="preserve">se tiene. </w:t>
      </w:r>
      <w:r w:rsidRPr="009F5B57">
        <w:rPr>
          <w:rFonts w:ascii="Times New Roman" w:hAnsi="Times New Roman" w:cs="Times New Roman"/>
          <w:lang w:val="es-ES"/>
        </w:rPr>
        <w:t>A pesar de que el porcentaje de personas que habitan en zonas rurales disminuy</w:t>
      </w:r>
      <w:r w:rsidR="0001413E" w:rsidRPr="009F5B57">
        <w:rPr>
          <w:rFonts w:ascii="Times New Roman" w:hAnsi="Times New Roman" w:cs="Times New Roman"/>
          <w:lang w:val="es-ES"/>
        </w:rPr>
        <w:t>ó</w:t>
      </w:r>
      <w:r w:rsidRPr="009F5B57">
        <w:rPr>
          <w:rFonts w:ascii="Times New Roman" w:hAnsi="Times New Roman" w:cs="Times New Roman"/>
          <w:lang w:val="es-ES"/>
        </w:rPr>
        <w:t xml:space="preserve"> con el paso de los años, el porcentaje de personas en situación de po</w:t>
      </w:r>
      <w:r w:rsidR="00A02F95" w:rsidRPr="009F5B57">
        <w:rPr>
          <w:rFonts w:ascii="Times New Roman" w:hAnsi="Times New Roman" w:cs="Times New Roman"/>
          <w:lang w:val="es-ES"/>
        </w:rPr>
        <w:t>breza, aumentó para el año 2014.</w:t>
      </w:r>
    </w:p>
    <w:p w14:paraId="21154142" w14:textId="77777777" w:rsidR="00A05DD5" w:rsidRPr="009F5B57" w:rsidRDefault="00A05DD5" w:rsidP="009F5B57">
      <w:pPr>
        <w:spacing w:line="360" w:lineRule="auto"/>
        <w:ind w:firstLine="709"/>
        <w:jc w:val="both"/>
        <w:rPr>
          <w:rFonts w:ascii="Times New Roman" w:hAnsi="Times New Roman" w:cs="Times New Roman"/>
          <w:lang w:val="es-ES"/>
        </w:rPr>
      </w:pPr>
      <w:r w:rsidRPr="009F5B57">
        <w:rPr>
          <w:rFonts w:ascii="Times New Roman" w:hAnsi="Times New Roman" w:cs="Times New Roman"/>
          <w:lang w:val="es-ES"/>
        </w:rPr>
        <w:t xml:space="preserve"> </w:t>
      </w:r>
    </w:p>
    <w:p w14:paraId="719CA0CA" w14:textId="52C536C6" w:rsidR="0046565A" w:rsidRPr="009F5B57" w:rsidRDefault="00A02F95" w:rsidP="009F5B57">
      <w:pPr>
        <w:spacing w:line="360" w:lineRule="auto"/>
        <w:ind w:firstLine="709"/>
        <w:jc w:val="both"/>
        <w:rPr>
          <w:rFonts w:ascii="Times New Roman" w:hAnsi="Times New Roman" w:cs="Times New Roman"/>
          <w:lang w:val="es-ES"/>
        </w:rPr>
      </w:pPr>
      <w:r w:rsidRPr="009F5B57">
        <w:rPr>
          <w:rFonts w:ascii="Times New Roman" w:hAnsi="Times New Roman" w:cs="Times New Roman"/>
          <w:lang w:val="es-ES"/>
        </w:rPr>
        <w:t>S</w:t>
      </w:r>
      <w:r w:rsidR="0046565A" w:rsidRPr="009F5B57">
        <w:rPr>
          <w:rFonts w:ascii="Times New Roman" w:hAnsi="Times New Roman" w:cs="Times New Roman"/>
          <w:lang w:val="es-ES"/>
        </w:rPr>
        <w:t xml:space="preserve">egún datos del </w:t>
      </w:r>
      <w:proofErr w:type="spellStart"/>
      <w:r w:rsidR="0046565A" w:rsidRPr="009F5B57">
        <w:rPr>
          <w:rFonts w:ascii="Times New Roman" w:hAnsi="Times New Roman" w:cs="Times New Roman"/>
          <w:lang w:val="es-ES"/>
        </w:rPr>
        <w:t>Coneval</w:t>
      </w:r>
      <w:proofErr w:type="spellEnd"/>
      <w:r w:rsidR="0046565A" w:rsidRPr="009F5B57">
        <w:rPr>
          <w:rFonts w:ascii="Times New Roman" w:hAnsi="Times New Roman" w:cs="Times New Roman"/>
          <w:lang w:val="es-ES"/>
        </w:rPr>
        <w:t xml:space="preserve">, </w:t>
      </w:r>
      <w:r w:rsidR="0001413E" w:rsidRPr="009F5B57">
        <w:rPr>
          <w:rFonts w:ascii="Times New Roman" w:hAnsi="Times New Roman" w:cs="Times New Roman"/>
          <w:lang w:val="es-ES"/>
        </w:rPr>
        <w:t>cerca</w:t>
      </w:r>
      <w:r w:rsidR="0046565A" w:rsidRPr="009F5B57">
        <w:rPr>
          <w:rFonts w:ascii="Times New Roman" w:hAnsi="Times New Roman" w:cs="Times New Roman"/>
          <w:lang w:val="es-ES"/>
        </w:rPr>
        <w:t xml:space="preserve"> de 53.5 millones de mexicanos</w:t>
      </w:r>
      <w:r w:rsidR="0001413E" w:rsidRPr="009F5B57">
        <w:rPr>
          <w:rFonts w:ascii="Times New Roman" w:hAnsi="Times New Roman" w:cs="Times New Roman"/>
          <w:lang w:val="es-ES"/>
        </w:rPr>
        <w:t xml:space="preserve"> se encontraban </w:t>
      </w:r>
      <w:r w:rsidR="0046565A" w:rsidRPr="009F5B57">
        <w:rPr>
          <w:rFonts w:ascii="Times New Roman" w:hAnsi="Times New Roman" w:cs="Times New Roman"/>
          <w:lang w:val="es-ES"/>
        </w:rPr>
        <w:t>en situación de pobreza en el año 2012,</w:t>
      </w:r>
      <w:r w:rsidR="0001413E" w:rsidRPr="009F5B57">
        <w:rPr>
          <w:rFonts w:ascii="Times New Roman" w:hAnsi="Times New Roman" w:cs="Times New Roman"/>
          <w:lang w:val="es-ES"/>
        </w:rPr>
        <w:t xml:space="preserve"> valor que aument</w:t>
      </w:r>
      <w:r w:rsidR="00EF403B" w:rsidRPr="009F5B57">
        <w:rPr>
          <w:rFonts w:ascii="Times New Roman" w:hAnsi="Times New Roman" w:cs="Times New Roman"/>
          <w:lang w:val="es-ES"/>
        </w:rPr>
        <w:t>ó</w:t>
      </w:r>
      <w:r w:rsidR="0001413E" w:rsidRPr="009F5B57">
        <w:rPr>
          <w:rFonts w:ascii="Times New Roman" w:hAnsi="Times New Roman" w:cs="Times New Roman"/>
          <w:lang w:val="es-ES"/>
        </w:rPr>
        <w:t xml:space="preserve"> a </w:t>
      </w:r>
      <w:r w:rsidR="0046565A" w:rsidRPr="009F5B57">
        <w:rPr>
          <w:rFonts w:ascii="Times New Roman" w:hAnsi="Times New Roman" w:cs="Times New Roman"/>
          <w:lang w:val="es-ES"/>
        </w:rPr>
        <w:t xml:space="preserve">55.3 millones </w:t>
      </w:r>
      <w:r w:rsidR="005B3FD2" w:rsidRPr="009F5B57">
        <w:rPr>
          <w:rFonts w:ascii="Times New Roman" w:hAnsi="Times New Roman" w:cs="Times New Roman"/>
          <w:lang w:val="es-ES"/>
        </w:rPr>
        <w:t xml:space="preserve">en 2014, </w:t>
      </w:r>
      <w:r w:rsidR="0046565A" w:rsidRPr="009F5B57">
        <w:rPr>
          <w:rFonts w:ascii="Times New Roman" w:hAnsi="Times New Roman" w:cs="Times New Roman"/>
          <w:lang w:val="es-ES"/>
        </w:rPr>
        <w:t>de los cuales el 9.5</w:t>
      </w:r>
      <w:r w:rsidR="005B3FD2" w:rsidRPr="009F5B57">
        <w:rPr>
          <w:rFonts w:ascii="Times New Roman" w:hAnsi="Times New Roman" w:cs="Times New Roman"/>
          <w:lang w:val="es-ES"/>
        </w:rPr>
        <w:t xml:space="preserve"> </w:t>
      </w:r>
      <w:r w:rsidR="0046565A" w:rsidRPr="009F5B57">
        <w:rPr>
          <w:rFonts w:ascii="Times New Roman" w:hAnsi="Times New Roman" w:cs="Times New Roman"/>
          <w:lang w:val="es-ES"/>
        </w:rPr>
        <w:t xml:space="preserve">% </w:t>
      </w:r>
      <w:r w:rsidR="00D229E1" w:rsidRPr="009F5B57">
        <w:rPr>
          <w:rFonts w:ascii="Times New Roman" w:hAnsi="Times New Roman" w:cs="Times New Roman"/>
          <w:lang w:val="es-ES"/>
        </w:rPr>
        <w:t>vivían</w:t>
      </w:r>
      <w:r w:rsidR="0046565A" w:rsidRPr="009F5B57">
        <w:rPr>
          <w:rFonts w:ascii="Times New Roman" w:hAnsi="Times New Roman" w:cs="Times New Roman"/>
          <w:lang w:val="es-ES"/>
        </w:rPr>
        <w:t xml:space="preserve"> en pobreza extrema</w:t>
      </w:r>
      <w:r w:rsidR="00513CAC" w:rsidRPr="009F5B57">
        <w:rPr>
          <w:rFonts w:ascii="Times New Roman" w:hAnsi="Times New Roman" w:cs="Times New Roman"/>
          <w:lang w:val="es-ES"/>
        </w:rPr>
        <w:t xml:space="preserve">. </w:t>
      </w:r>
      <w:r w:rsidR="00DA533B" w:rsidRPr="009F5B57">
        <w:rPr>
          <w:rFonts w:ascii="Times New Roman" w:hAnsi="Times New Roman" w:cs="Times New Roman"/>
          <w:lang w:val="es-ES"/>
        </w:rPr>
        <w:t>(CONEVAL,2015)</w:t>
      </w:r>
    </w:p>
    <w:p w14:paraId="20D146F1" w14:textId="77777777" w:rsidR="0046565A" w:rsidRPr="009F5B57" w:rsidRDefault="0046565A" w:rsidP="009F5B57">
      <w:pPr>
        <w:spacing w:line="360" w:lineRule="auto"/>
        <w:jc w:val="both"/>
        <w:rPr>
          <w:rFonts w:ascii="Times New Roman" w:hAnsi="Times New Roman" w:cs="Times New Roman"/>
          <w:lang w:val="es-ES"/>
        </w:rPr>
      </w:pPr>
    </w:p>
    <w:p w14:paraId="179B5236" w14:textId="24565B3F" w:rsidR="0046565A" w:rsidRPr="009F5B57" w:rsidRDefault="0046565A" w:rsidP="009F5B57">
      <w:pPr>
        <w:spacing w:line="360" w:lineRule="auto"/>
        <w:ind w:firstLine="709"/>
        <w:jc w:val="both"/>
        <w:rPr>
          <w:rFonts w:ascii="Times New Roman" w:hAnsi="Times New Roman" w:cs="Times New Roman"/>
          <w:lang w:val="es-ES"/>
        </w:rPr>
      </w:pPr>
      <w:r w:rsidRPr="009F5B57">
        <w:rPr>
          <w:rFonts w:ascii="Times New Roman" w:hAnsi="Times New Roman" w:cs="Times New Roman"/>
          <w:lang w:val="es-ES"/>
        </w:rPr>
        <w:t xml:space="preserve">Una de las áreas en donde el país tiene déficit social es </w:t>
      </w:r>
      <w:r w:rsidR="007D56C1" w:rsidRPr="009F5B57">
        <w:rPr>
          <w:rFonts w:ascii="Times New Roman" w:hAnsi="Times New Roman" w:cs="Times New Roman"/>
          <w:lang w:val="es-ES"/>
        </w:rPr>
        <w:t xml:space="preserve">en </w:t>
      </w:r>
      <w:r w:rsidR="00722E51" w:rsidRPr="009F5B57">
        <w:rPr>
          <w:rFonts w:ascii="Times New Roman" w:hAnsi="Times New Roman" w:cs="Times New Roman"/>
          <w:lang w:val="es-ES"/>
        </w:rPr>
        <w:t>la</w:t>
      </w:r>
      <w:r w:rsidRPr="009F5B57">
        <w:rPr>
          <w:rFonts w:ascii="Times New Roman" w:hAnsi="Times New Roman" w:cs="Times New Roman"/>
          <w:lang w:val="es-ES"/>
        </w:rPr>
        <w:t xml:space="preserve"> educación, ya que </w:t>
      </w:r>
      <w:r w:rsidR="007D56C1" w:rsidRPr="009F5B57">
        <w:rPr>
          <w:rFonts w:ascii="Times New Roman" w:hAnsi="Times New Roman" w:cs="Times New Roman"/>
          <w:lang w:val="es-ES"/>
        </w:rPr>
        <w:t>de los</w:t>
      </w:r>
      <w:r w:rsidRPr="009F5B57">
        <w:rPr>
          <w:rFonts w:ascii="Times New Roman" w:hAnsi="Times New Roman" w:cs="Times New Roman"/>
          <w:lang w:val="es-ES"/>
        </w:rPr>
        <w:t xml:space="preserve"> 19.8 millones de personas de 6 a 14 años, </w:t>
      </w:r>
      <w:r w:rsidR="007D56C1" w:rsidRPr="009F5B57">
        <w:rPr>
          <w:rFonts w:ascii="Times New Roman" w:hAnsi="Times New Roman" w:cs="Times New Roman"/>
          <w:lang w:val="es-ES"/>
        </w:rPr>
        <w:t>solo</w:t>
      </w:r>
      <w:r w:rsidR="00986800" w:rsidRPr="009F5B57">
        <w:rPr>
          <w:rFonts w:ascii="Times New Roman" w:hAnsi="Times New Roman" w:cs="Times New Roman"/>
          <w:lang w:val="es-ES"/>
        </w:rPr>
        <w:t xml:space="preserve"> 18.7 </w:t>
      </w:r>
      <w:r w:rsidR="005B3FD2" w:rsidRPr="009F5B57">
        <w:rPr>
          <w:rFonts w:ascii="Times New Roman" w:hAnsi="Times New Roman" w:cs="Times New Roman"/>
          <w:lang w:val="es-ES"/>
        </w:rPr>
        <w:t xml:space="preserve">millones </w:t>
      </w:r>
      <w:r w:rsidR="00986800" w:rsidRPr="009F5B57">
        <w:rPr>
          <w:rFonts w:ascii="Times New Roman" w:hAnsi="Times New Roman" w:cs="Times New Roman"/>
          <w:lang w:val="es-ES"/>
        </w:rPr>
        <w:t>asisten a las escuela</w:t>
      </w:r>
      <w:r w:rsidR="005B3FD2" w:rsidRPr="009F5B57">
        <w:rPr>
          <w:rFonts w:ascii="Times New Roman" w:hAnsi="Times New Roman" w:cs="Times New Roman"/>
          <w:lang w:val="es-ES"/>
        </w:rPr>
        <w:t>s</w:t>
      </w:r>
      <w:r w:rsidR="00986800" w:rsidRPr="009F5B57">
        <w:rPr>
          <w:rFonts w:ascii="Times New Roman" w:hAnsi="Times New Roman" w:cs="Times New Roman"/>
          <w:lang w:val="es-ES"/>
        </w:rPr>
        <w:t xml:space="preserve">. </w:t>
      </w:r>
      <w:r w:rsidRPr="009F5B57">
        <w:rPr>
          <w:rFonts w:ascii="Times New Roman" w:hAnsi="Times New Roman" w:cs="Times New Roman"/>
          <w:lang w:val="es-ES"/>
        </w:rPr>
        <w:t>En cuestión de deserción en la educación de nivel medio superior, el 16.3</w:t>
      </w:r>
      <w:r w:rsidR="005B3FD2" w:rsidRPr="009F5B57">
        <w:rPr>
          <w:rFonts w:ascii="Times New Roman" w:hAnsi="Times New Roman" w:cs="Times New Roman"/>
          <w:lang w:val="es-ES"/>
        </w:rPr>
        <w:t xml:space="preserve"> </w:t>
      </w:r>
      <w:r w:rsidRPr="009F5B57">
        <w:rPr>
          <w:rFonts w:ascii="Times New Roman" w:hAnsi="Times New Roman" w:cs="Times New Roman"/>
          <w:lang w:val="es-ES"/>
        </w:rPr>
        <w:t>% de l</w:t>
      </w:r>
      <w:r w:rsidR="005B3FD2" w:rsidRPr="009F5B57">
        <w:rPr>
          <w:rFonts w:ascii="Times New Roman" w:hAnsi="Times New Roman" w:cs="Times New Roman"/>
          <w:lang w:val="es-ES"/>
        </w:rPr>
        <w:t>os estudiantes</w:t>
      </w:r>
      <w:r w:rsidRPr="009F5B57">
        <w:rPr>
          <w:rFonts w:ascii="Times New Roman" w:hAnsi="Times New Roman" w:cs="Times New Roman"/>
          <w:lang w:val="es-ES"/>
        </w:rPr>
        <w:t xml:space="preserve"> son </w:t>
      </w:r>
      <w:r w:rsidR="00722E51" w:rsidRPr="009F5B57">
        <w:rPr>
          <w:rFonts w:ascii="Times New Roman" w:hAnsi="Times New Roman" w:cs="Times New Roman"/>
          <w:lang w:val="es-ES"/>
        </w:rPr>
        <w:t>desertores.</w:t>
      </w:r>
      <w:r w:rsidRPr="009F5B57">
        <w:rPr>
          <w:rFonts w:ascii="Times New Roman" w:hAnsi="Times New Roman" w:cs="Times New Roman"/>
          <w:lang w:val="es-ES"/>
        </w:rPr>
        <w:t xml:space="preserve"> Un total de 1</w:t>
      </w:r>
      <w:r w:rsidR="001B666C" w:rsidRPr="009F5B57">
        <w:rPr>
          <w:rFonts w:ascii="Times New Roman" w:hAnsi="Times New Roman" w:cs="Times New Roman"/>
          <w:lang w:val="es-ES"/>
        </w:rPr>
        <w:t xml:space="preserve">49 </w:t>
      </w:r>
      <w:r w:rsidRPr="009F5B57">
        <w:rPr>
          <w:rFonts w:ascii="Times New Roman" w:hAnsi="Times New Roman" w:cs="Times New Roman"/>
          <w:lang w:val="es-ES"/>
        </w:rPr>
        <w:t>028 mexicanos entran en este rubro a nivel primaria,</w:t>
      </w:r>
      <w:r w:rsidR="005B3FD2" w:rsidRPr="009F5B57">
        <w:rPr>
          <w:rFonts w:ascii="Times New Roman" w:hAnsi="Times New Roman" w:cs="Times New Roman"/>
          <w:lang w:val="es-ES"/>
        </w:rPr>
        <w:t xml:space="preserve"> </w:t>
      </w:r>
      <w:r w:rsidR="001B666C" w:rsidRPr="009F5B57">
        <w:rPr>
          <w:rFonts w:ascii="Times New Roman" w:hAnsi="Times New Roman" w:cs="Times New Roman"/>
          <w:lang w:val="es-ES"/>
        </w:rPr>
        <w:t>394</w:t>
      </w:r>
      <w:r w:rsidR="00722E51" w:rsidRPr="009F5B57">
        <w:rPr>
          <w:rFonts w:ascii="Times New Roman" w:hAnsi="Times New Roman" w:cs="Times New Roman"/>
          <w:lang w:val="es-ES"/>
        </w:rPr>
        <w:t xml:space="preserve"> </w:t>
      </w:r>
      <w:r w:rsidR="00722E51" w:rsidRPr="009F5B57">
        <w:rPr>
          <w:rFonts w:ascii="Times New Roman" w:hAnsi="Times New Roman" w:cs="Times New Roman"/>
          <w:lang w:val="es-ES"/>
        </w:rPr>
        <w:lastRenderedPageBreak/>
        <w:t>785</w:t>
      </w:r>
      <w:r w:rsidRPr="009F5B57">
        <w:rPr>
          <w:rFonts w:ascii="Times New Roman" w:hAnsi="Times New Roman" w:cs="Times New Roman"/>
          <w:lang w:val="es-ES"/>
        </w:rPr>
        <w:t xml:space="preserve"> en cuanto a secundaria se refiere y en nivel medi</w:t>
      </w:r>
      <w:r w:rsidR="005B3FD2" w:rsidRPr="009F5B57">
        <w:rPr>
          <w:rFonts w:ascii="Times New Roman" w:hAnsi="Times New Roman" w:cs="Times New Roman"/>
          <w:lang w:val="es-ES"/>
        </w:rPr>
        <w:t>o</w:t>
      </w:r>
      <w:r w:rsidRPr="009F5B57">
        <w:rPr>
          <w:rFonts w:ascii="Times New Roman" w:hAnsi="Times New Roman" w:cs="Times New Roman"/>
          <w:lang w:val="es-ES"/>
        </w:rPr>
        <w:t xml:space="preserve"> superior</w:t>
      </w:r>
      <w:r w:rsidR="005B3FD2" w:rsidRPr="009F5B57">
        <w:rPr>
          <w:rFonts w:ascii="Times New Roman" w:hAnsi="Times New Roman" w:cs="Times New Roman"/>
          <w:lang w:val="es-ES"/>
        </w:rPr>
        <w:t>,</w:t>
      </w:r>
      <w:r w:rsidR="001B666C" w:rsidRPr="009F5B57">
        <w:rPr>
          <w:rFonts w:ascii="Times New Roman" w:hAnsi="Times New Roman" w:cs="Times New Roman"/>
          <w:lang w:val="es-ES"/>
        </w:rPr>
        <w:t xml:space="preserve"> 336 </w:t>
      </w:r>
      <w:r w:rsidRPr="009F5B57">
        <w:rPr>
          <w:rFonts w:ascii="Times New Roman" w:hAnsi="Times New Roman" w:cs="Times New Roman"/>
          <w:lang w:val="es-ES"/>
        </w:rPr>
        <w:t>543.</w:t>
      </w:r>
      <w:r w:rsidR="00513CAC" w:rsidRPr="009F5B57">
        <w:rPr>
          <w:rFonts w:ascii="Times New Roman" w:hAnsi="Times New Roman" w:cs="Times New Roman"/>
          <w:lang w:val="es-ES"/>
        </w:rPr>
        <w:t xml:space="preserve"> </w:t>
      </w:r>
      <w:r w:rsidR="00DA533B" w:rsidRPr="009F5B57">
        <w:rPr>
          <w:rFonts w:ascii="Times New Roman" w:hAnsi="Times New Roman" w:cs="Times New Roman"/>
          <w:lang w:val="es-ES"/>
        </w:rPr>
        <w:t>(Vásquez H. V., 2012)</w:t>
      </w:r>
      <w:r w:rsidR="005B3FD2" w:rsidRPr="009F5B57">
        <w:rPr>
          <w:rFonts w:ascii="Times New Roman" w:hAnsi="Times New Roman" w:cs="Times New Roman"/>
          <w:lang w:val="es-ES"/>
        </w:rPr>
        <w:t>.</w:t>
      </w:r>
    </w:p>
    <w:p w14:paraId="288822A6" w14:textId="35D4DD2A" w:rsidR="0046565A" w:rsidRPr="009F5B57" w:rsidRDefault="00046388" w:rsidP="00046388">
      <w:pPr>
        <w:spacing w:line="360" w:lineRule="auto"/>
        <w:ind w:firstLine="709"/>
        <w:jc w:val="both"/>
        <w:rPr>
          <w:rFonts w:ascii="Times New Roman" w:hAnsi="Times New Roman" w:cs="Times New Roman"/>
          <w:lang w:val="es-ES"/>
        </w:rPr>
      </w:pPr>
      <w:r>
        <w:rPr>
          <w:rFonts w:ascii="Times New Roman" w:hAnsi="Times New Roman" w:cs="Times New Roman"/>
          <w:lang w:val="es-ES"/>
        </w:rPr>
        <w:br/>
        <w:t xml:space="preserve">            </w:t>
      </w:r>
      <w:r w:rsidR="0046565A" w:rsidRPr="009F5B57">
        <w:rPr>
          <w:rFonts w:ascii="Times New Roman" w:hAnsi="Times New Roman" w:cs="Times New Roman"/>
          <w:lang w:val="es-ES"/>
        </w:rPr>
        <w:t xml:space="preserve">Al referirnos al rezago educativo, </w:t>
      </w:r>
      <w:r w:rsidR="001B666C" w:rsidRPr="009F5B57">
        <w:rPr>
          <w:rFonts w:ascii="Times New Roman" w:hAnsi="Times New Roman" w:cs="Times New Roman"/>
          <w:lang w:val="es-ES"/>
        </w:rPr>
        <w:t xml:space="preserve">en México 86 692 </w:t>
      </w:r>
      <w:r w:rsidR="00CA4B89" w:rsidRPr="009F5B57">
        <w:rPr>
          <w:rFonts w:ascii="Times New Roman" w:hAnsi="Times New Roman" w:cs="Times New Roman"/>
          <w:lang w:val="es-ES"/>
        </w:rPr>
        <w:t>412 personas de 15 años o más se encuentran en esta situación, de las cuales el 5.4</w:t>
      </w:r>
      <w:r w:rsidR="005B3FD2" w:rsidRPr="009F5B57">
        <w:rPr>
          <w:rFonts w:ascii="Times New Roman" w:hAnsi="Times New Roman" w:cs="Times New Roman"/>
          <w:lang w:val="es-ES"/>
        </w:rPr>
        <w:t xml:space="preserve"> </w:t>
      </w:r>
      <w:r w:rsidR="00722E51" w:rsidRPr="009F5B57">
        <w:rPr>
          <w:rFonts w:ascii="Times New Roman" w:hAnsi="Times New Roman" w:cs="Times New Roman"/>
          <w:lang w:val="es-ES"/>
        </w:rPr>
        <w:t>% (4,749,057 personas) son analfabetas.</w:t>
      </w:r>
      <w:r w:rsidR="00CA4B89" w:rsidRPr="009F5B57">
        <w:rPr>
          <w:rFonts w:ascii="Times New Roman" w:hAnsi="Times New Roman" w:cs="Times New Roman"/>
          <w:lang w:val="es-ES"/>
        </w:rPr>
        <w:t xml:space="preserve"> </w:t>
      </w:r>
      <w:r w:rsidR="00823E23" w:rsidRPr="009F5B57">
        <w:rPr>
          <w:rFonts w:ascii="Times New Roman" w:hAnsi="Times New Roman" w:cs="Times New Roman"/>
          <w:lang w:val="es-ES"/>
        </w:rPr>
        <w:t>( Departamento de Prospectiva e Información Externa, 2015)</w:t>
      </w:r>
    </w:p>
    <w:p w14:paraId="27A75ACC" w14:textId="77777777" w:rsidR="00DA533B" w:rsidRPr="009F5B57" w:rsidRDefault="00DA533B" w:rsidP="009F5B57">
      <w:pPr>
        <w:spacing w:line="360" w:lineRule="auto"/>
        <w:ind w:firstLine="709"/>
        <w:jc w:val="both"/>
        <w:rPr>
          <w:rFonts w:ascii="Times New Roman" w:hAnsi="Times New Roman" w:cs="Times New Roman"/>
          <w:lang w:val="es-ES"/>
        </w:rPr>
      </w:pPr>
    </w:p>
    <w:p w14:paraId="09A5F2E1" w14:textId="20AEFBE6" w:rsidR="0046565A" w:rsidRPr="009F5B57" w:rsidRDefault="0046565A" w:rsidP="009F5B57">
      <w:pPr>
        <w:spacing w:line="360" w:lineRule="auto"/>
        <w:ind w:firstLine="709"/>
        <w:jc w:val="both"/>
        <w:rPr>
          <w:rFonts w:ascii="Times New Roman" w:hAnsi="Times New Roman" w:cs="Times New Roman"/>
          <w:lang w:val="es-ES"/>
        </w:rPr>
      </w:pPr>
      <w:r w:rsidRPr="009F5B57">
        <w:rPr>
          <w:rFonts w:ascii="Times New Roman" w:hAnsi="Times New Roman" w:cs="Times New Roman"/>
          <w:lang w:val="es-ES"/>
        </w:rPr>
        <w:t xml:space="preserve">Como se mencionó con anterioridad, </w:t>
      </w:r>
      <w:r w:rsidR="00986800" w:rsidRPr="009F5B57">
        <w:rPr>
          <w:rFonts w:ascii="Times New Roman" w:hAnsi="Times New Roman" w:cs="Times New Roman"/>
          <w:lang w:val="es-ES"/>
        </w:rPr>
        <w:t xml:space="preserve">gran parte de los mexicanos </w:t>
      </w:r>
      <w:r w:rsidRPr="009F5B57">
        <w:rPr>
          <w:rFonts w:ascii="Times New Roman" w:hAnsi="Times New Roman" w:cs="Times New Roman"/>
          <w:lang w:val="es-ES"/>
        </w:rPr>
        <w:t xml:space="preserve">viven en situación de pobreza y esto es preocupante ya que las personas con bajos ingresos, son más vulnerables a presentar una deficiencia de hierro, es decir, existe una relación positiva entre la pobreza y la anemia. </w:t>
      </w:r>
    </w:p>
    <w:p w14:paraId="3E635A89" w14:textId="77777777" w:rsidR="0046565A" w:rsidRPr="009F5B57" w:rsidRDefault="0046565A" w:rsidP="009F5B57">
      <w:pPr>
        <w:spacing w:line="360" w:lineRule="auto"/>
        <w:ind w:firstLine="709"/>
        <w:jc w:val="both"/>
        <w:rPr>
          <w:rFonts w:ascii="Times New Roman" w:hAnsi="Times New Roman" w:cs="Times New Roman"/>
          <w:lang w:val="es-ES"/>
        </w:rPr>
      </w:pPr>
    </w:p>
    <w:p w14:paraId="04950779" w14:textId="63E7CA46" w:rsidR="0046565A" w:rsidRPr="009F5B57" w:rsidRDefault="0046565A" w:rsidP="009F5B57">
      <w:pPr>
        <w:spacing w:line="360" w:lineRule="auto"/>
        <w:ind w:firstLine="709"/>
        <w:jc w:val="both"/>
        <w:rPr>
          <w:rFonts w:ascii="Times New Roman" w:hAnsi="Times New Roman" w:cs="Times New Roman"/>
          <w:lang w:val="es-ES"/>
        </w:rPr>
      </w:pPr>
      <w:r w:rsidRPr="009F5B57">
        <w:rPr>
          <w:rFonts w:ascii="Times New Roman" w:hAnsi="Times New Roman" w:cs="Times New Roman"/>
          <w:lang w:val="es-ES"/>
        </w:rPr>
        <w:t>Según datos de ENSANUT 2012, la prevalencia de la anemia en niños preescolares fue del 23.3</w:t>
      </w:r>
      <w:r w:rsidR="002B1591" w:rsidRPr="009F5B57">
        <w:rPr>
          <w:rFonts w:ascii="Times New Roman" w:hAnsi="Times New Roman" w:cs="Times New Roman"/>
          <w:lang w:val="es-ES"/>
        </w:rPr>
        <w:t xml:space="preserve"> </w:t>
      </w:r>
      <w:r w:rsidRPr="009F5B57">
        <w:rPr>
          <w:rFonts w:ascii="Times New Roman" w:hAnsi="Times New Roman" w:cs="Times New Roman"/>
          <w:lang w:val="es-ES"/>
        </w:rPr>
        <w:t>%; la mayor prevalencia</w:t>
      </w:r>
      <w:r w:rsidR="002B1591" w:rsidRPr="009F5B57">
        <w:rPr>
          <w:rFonts w:ascii="Times New Roman" w:hAnsi="Times New Roman" w:cs="Times New Roman"/>
          <w:lang w:val="es-ES"/>
        </w:rPr>
        <w:t xml:space="preserve">, </w:t>
      </w:r>
      <w:r w:rsidRPr="009F5B57">
        <w:rPr>
          <w:rFonts w:ascii="Times New Roman" w:hAnsi="Times New Roman" w:cs="Times New Roman"/>
          <w:lang w:val="es-ES"/>
        </w:rPr>
        <w:t>38</w:t>
      </w:r>
      <w:r w:rsidR="002B1591" w:rsidRPr="009F5B57">
        <w:rPr>
          <w:rFonts w:ascii="Times New Roman" w:hAnsi="Times New Roman" w:cs="Times New Roman"/>
          <w:lang w:val="es-ES"/>
        </w:rPr>
        <w:t xml:space="preserve"> </w:t>
      </w:r>
      <w:r w:rsidRPr="009F5B57">
        <w:rPr>
          <w:rFonts w:ascii="Times New Roman" w:hAnsi="Times New Roman" w:cs="Times New Roman"/>
          <w:lang w:val="es-ES"/>
        </w:rPr>
        <w:t>%</w:t>
      </w:r>
      <w:r w:rsidR="002B1591" w:rsidRPr="009F5B57">
        <w:rPr>
          <w:rFonts w:ascii="Times New Roman" w:hAnsi="Times New Roman" w:cs="Times New Roman"/>
          <w:lang w:val="es-ES"/>
        </w:rPr>
        <w:t>,</w:t>
      </w:r>
      <w:r w:rsidRPr="009F5B57">
        <w:rPr>
          <w:rFonts w:ascii="Times New Roman" w:hAnsi="Times New Roman" w:cs="Times New Roman"/>
          <w:lang w:val="es-ES"/>
        </w:rPr>
        <w:t xml:space="preserve"> se observó en</w:t>
      </w:r>
      <w:r w:rsidR="002B1591" w:rsidRPr="009F5B57">
        <w:rPr>
          <w:rFonts w:ascii="Times New Roman" w:hAnsi="Times New Roman" w:cs="Times New Roman"/>
          <w:lang w:val="es-ES"/>
        </w:rPr>
        <w:t xml:space="preserve"> niños de 12 a 23 meses de edad</w:t>
      </w:r>
      <w:r w:rsidRPr="009F5B57">
        <w:rPr>
          <w:rFonts w:ascii="Times New Roman" w:hAnsi="Times New Roman" w:cs="Times New Roman"/>
          <w:lang w:val="es-ES"/>
        </w:rPr>
        <w:t>. Así mismo, al compa</w:t>
      </w:r>
      <w:r w:rsidR="002B1591" w:rsidRPr="009F5B57">
        <w:rPr>
          <w:rFonts w:ascii="Times New Roman" w:hAnsi="Times New Roman" w:cs="Times New Roman"/>
          <w:lang w:val="es-ES"/>
        </w:rPr>
        <w:t xml:space="preserve">rar </w:t>
      </w:r>
      <w:r w:rsidR="005B3FD2" w:rsidRPr="009F5B57">
        <w:rPr>
          <w:rFonts w:ascii="Times New Roman" w:hAnsi="Times New Roman" w:cs="Times New Roman"/>
          <w:lang w:val="es-ES"/>
        </w:rPr>
        <w:t xml:space="preserve">los </w:t>
      </w:r>
      <w:r w:rsidR="002B1591" w:rsidRPr="009F5B57">
        <w:rPr>
          <w:rFonts w:ascii="Times New Roman" w:hAnsi="Times New Roman" w:cs="Times New Roman"/>
          <w:lang w:val="es-ES"/>
        </w:rPr>
        <w:t>datos de la encuesta del 2006</w:t>
      </w:r>
      <w:r w:rsidRPr="009F5B57">
        <w:rPr>
          <w:rFonts w:ascii="Times New Roman" w:hAnsi="Times New Roman" w:cs="Times New Roman"/>
          <w:lang w:val="es-ES"/>
        </w:rPr>
        <w:t xml:space="preserve"> con los del 20</w:t>
      </w:r>
      <w:r w:rsidR="002B1591" w:rsidRPr="009F5B57">
        <w:rPr>
          <w:rFonts w:ascii="Times New Roman" w:hAnsi="Times New Roman" w:cs="Times New Roman"/>
          <w:lang w:val="es-ES"/>
        </w:rPr>
        <w:t>12</w:t>
      </w:r>
      <w:r w:rsidRPr="009F5B57">
        <w:rPr>
          <w:rFonts w:ascii="Times New Roman" w:hAnsi="Times New Roman" w:cs="Times New Roman"/>
          <w:lang w:val="es-ES"/>
        </w:rPr>
        <w:t>, se encontró que hubo una disminución de la anemia en los adolescentes del 9.2</w:t>
      </w:r>
      <w:r w:rsidR="002B1591" w:rsidRPr="009F5B57">
        <w:rPr>
          <w:rFonts w:ascii="Times New Roman" w:hAnsi="Times New Roman" w:cs="Times New Roman"/>
          <w:lang w:val="es-ES"/>
        </w:rPr>
        <w:t xml:space="preserve"> </w:t>
      </w:r>
      <w:r w:rsidRPr="009F5B57">
        <w:rPr>
          <w:rFonts w:ascii="Times New Roman" w:hAnsi="Times New Roman" w:cs="Times New Roman"/>
          <w:lang w:val="es-ES"/>
        </w:rPr>
        <w:t>% al 5.6</w:t>
      </w:r>
      <w:r w:rsidR="002B1591" w:rsidRPr="009F5B57">
        <w:rPr>
          <w:rFonts w:ascii="Times New Roman" w:hAnsi="Times New Roman" w:cs="Times New Roman"/>
          <w:lang w:val="es-ES"/>
        </w:rPr>
        <w:t xml:space="preserve"> </w:t>
      </w:r>
      <w:r w:rsidRPr="009F5B57">
        <w:rPr>
          <w:rFonts w:ascii="Times New Roman" w:hAnsi="Times New Roman" w:cs="Times New Roman"/>
          <w:lang w:val="es-ES"/>
        </w:rPr>
        <w:t xml:space="preserve">%. A pesar de </w:t>
      </w:r>
      <w:r w:rsidR="002B1591" w:rsidRPr="009F5B57">
        <w:rPr>
          <w:rFonts w:ascii="Times New Roman" w:hAnsi="Times New Roman" w:cs="Times New Roman"/>
          <w:lang w:val="es-ES"/>
        </w:rPr>
        <w:t>l</w:t>
      </w:r>
      <w:r w:rsidRPr="009F5B57">
        <w:rPr>
          <w:rFonts w:ascii="Times New Roman" w:hAnsi="Times New Roman" w:cs="Times New Roman"/>
          <w:lang w:val="es-ES"/>
        </w:rPr>
        <w:t xml:space="preserve">a disminución que se obtuvo, no se puede quitar el dedo del renglón en cuanto a la lucha por abolir dicha enfermedad, ya que </w:t>
      </w:r>
      <w:r w:rsidR="002B1591" w:rsidRPr="009F5B57">
        <w:rPr>
          <w:rFonts w:ascii="Times New Roman" w:hAnsi="Times New Roman" w:cs="Times New Roman"/>
          <w:lang w:val="es-ES"/>
        </w:rPr>
        <w:t xml:space="preserve">son </w:t>
      </w:r>
      <w:r w:rsidRPr="009F5B57">
        <w:rPr>
          <w:rFonts w:ascii="Times New Roman" w:hAnsi="Times New Roman" w:cs="Times New Roman"/>
          <w:lang w:val="es-ES"/>
        </w:rPr>
        <w:t>preocupante</w:t>
      </w:r>
      <w:r w:rsidR="002B1591" w:rsidRPr="009F5B57">
        <w:rPr>
          <w:rFonts w:ascii="Times New Roman" w:hAnsi="Times New Roman" w:cs="Times New Roman"/>
          <w:lang w:val="es-ES"/>
        </w:rPr>
        <w:t>s</w:t>
      </w:r>
      <w:r w:rsidRPr="009F5B57">
        <w:rPr>
          <w:rFonts w:ascii="Times New Roman" w:hAnsi="Times New Roman" w:cs="Times New Roman"/>
          <w:lang w:val="es-ES"/>
        </w:rPr>
        <w:t xml:space="preserve"> los porcentajes de prevalencia</w:t>
      </w:r>
      <w:r w:rsidR="002B1591" w:rsidRPr="009F5B57">
        <w:rPr>
          <w:rFonts w:ascii="Times New Roman" w:hAnsi="Times New Roman" w:cs="Times New Roman"/>
          <w:lang w:val="es-ES"/>
        </w:rPr>
        <w:t>,</w:t>
      </w:r>
      <w:r w:rsidRPr="009F5B57">
        <w:rPr>
          <w:rFonts w:ascii="Times New Roman" w:hAnsi="Times New Roman" w:cs="Times New Roman"/>
          <w:lang w:val="es-ES"/>
        </w:rPr>
        <w:t xml:space="preserve"> </w:t>
      </w:r>
      <w:r w:rsidR="005B3FD2" w:rsidRPr="009F5B57">
        <w:rPr>
          <w:rFonts w:ascii="Times New Roman" w:hAnsi="Times New Roman" w:cs="Times New Roman"/>
          <w:lang w:val="es-ES"/>
        </w:rPr>
        <w:t xml:space="preserve">manteniendo a </w:t>
      </w:r>
      <w:r w:rsidRPr="009F5B57">
        <w:rPr>
          <w:rFonts w:ascii="Times New Roman" w:hAnsi="Times New Roman" w:cs="Times New Roman"/>
          <w:lang w:val="es-ES"/>
        </w:rPr>
        <w:t xml:space="preserve">la anemia </w:t>
      </w:r>
      <w:r w:rsidR="005B3FD2" w:rsidRPr="009F5B57">
        <w:rPr>
          <w:rFonts w:ascii="Times New Roman" w:hAnsi="Times New Roman" w:cs="Times New Roman"/>
          <w:lang w:val="es-ES"/>
        </w:rPr>
        <w:t xml:space="preserve">considerada como </w:t>
      </w:r>
      <w:r w:rsidRPr="009F5B57">
        <w:rPr>
          <w:rFonts w:ascii="Times New Roman" w:hAnsi="Times New Roman" w:cs="Times New Roman"/>
          <w:lang w:val="es-ES"/>
        </w:rPr>
        <w:t>u</w:t>
      </w:r>
      <w:r w:rsidR="00513CAC" w:rsidRPr="009F5B57">
        <w:rPr>
          <w:rFonts w:ascii="Times New Roman" w:hAnsi="Times New Roman" w:cs="Times New Roman"/>
          <w:lang w:val="es-ES"/>
        </w:rPr>
        <w:t xml:space="preserve">n problema de salud pública. </w:t>
      </w:r>
      <w:r w:rsidR="00DA533B" w:rsidRPr="009F5B57">
        <w:rPr>
          <w:rFonts w:ascii="Times New Roman" w:hAnsi="Times New Roman" w:cs="Times New Roman"/>
          <w:lang w:val="es-ES"/>
        </w:rPr>
        <w:t>(ENSANUT, 2012)</w:t>
      </w:r>
    </w:p>
    <w:p w14:paraId="644C6E4B" w14:textId="77777777" w:rsidR="0046565A" w:rsidRPr="009F5B57" w:rsidRDefault="0046565A" w:rsidP="009F5B57">
      <w:pPr>
        <w:spacing w:line="360" w:lineRule="auto"/>
        <w:ind w:firstLine="709"/>
        <w:jc w:val="both"/>
        <w:rPr>
          <w:rFonts w:ascii="Times New Roman" w:hAnsi="Times New Roman" w:cs="Times New Roman"/>
          <w:lang w:val="es-ES"/>
        </w:rPr>
      </w:pPr>
    </w:p>
    <w:p w14:paraId="57C28BD0" w14:textId="78792AA1" w:rsidR="002B1591" w:rsidRPr="009F5B57" w:rsidRDefault="0046565A" w:rsidP="00947664">
      <w:pPr>
        <w:spacing w:line="360" w:lineRule="auto"/>
        <w:ind w:firstLine="709"/>
        <w:jc w:val="both"/>
        <w:rPr>
          <w:rFonts w:ascii="Times New Roman" w:hAnsi="Times New Roman" w:cs="Times New Roman"/>
          <w:lang w:val="es-ES"/>
        </w:rPr>
      </w:pPr>
      <w:r w:rsidRPr="009F5B57">
        <w:rPr>
          <w:rFonts w:ascii="Times New Roman" w:hAnsi="Times New Roman" w:cs="Times New Roman"/>
          <w:lang w:val="es-ES"/>
        </w:rPr>
        <w:t xml:space="preserve"> Para saber si </w:t>
      </w:r>
      <w:r w:rsidR="002B1591" w:rsidRPr="009F5B57">
        <w:rPr>
          <w:rFonts w:ascii="Times New Roman" w:hAnsi="Times New Roman" w:cs="Times New Roman"/>
          <w:lang w:val="es-ES"/>
        </w:rPr>
        <w:t xml:space="preserve">la anemia </w:t>
      </w:r>
      <w:r w:rsidRPr="009F5B57">
        <w:rPr>
          <w:rFonts w:ascii="Times New Roman" w:hAnsi="Times New Roman" w:cs="Times New Roman"/>
          <w:lang w:val="es-ES"/>
        </w:rPr>
        <w:t>es o no</w:t>
      </w:r>
      <w:r w:rsidR="002B1591" w:rsidRPr="009F5B57">
        <w:rPr>
          <w:rFonts w:ascii="Times New Roman" w:hAnsi="Times New Roman" w:cs="Times New Roman"/>
          <w:lang w:val="es-ES"/>
        </w:rPr>
        <w:t>,</w:t>
      </w:r>
      <w:r w:rsidR="00722E51" w:rsidRPr="009F5B57">
        <w:rPr>
          <w:rFonts w:ascii="Times New Roman" w:hAnsi="Times New Roman" w:cs="Times New Roman"/>
          <w:lang w:val="es-ES"/>
        </w:rPr>
        <w:t xml:space="preserve"> un problema de salud pública,</w:t>
      </w:r>
      <w:r w:rsidRPr="009F5B57">
        <w:rPr>
          <w:rFonts w:ascii="Times New Roman" w:hAnsi="Times New Roman" w:cs="Times New Roman"/>
          <w:lang w:val="es-ES"/>
        </w:rPr>
        <w:t xml:space="preserve"> la OMS estableció un porcentaje mínimo de prevalencia en la población a analizar, a partir de </w:t>
      </w:r>
      <w:r w:rsidR="00722E51" w:rsidRPr="009F5B57">
        <w:rPr>
          <w:rFonts w:ascii="Times New Roman" w:hAnsi="Times New Roman" w:cs="Times New Roman"/>
          <w:lang w:val="es-ES"/>
        </w:rPr>
        <w:t xml:space="preserve">dicho porcentaje, </w:t>
      </w:r>
      <w:r w:rsidRPr="009F5B57">
        <w:rPr>
          <w:rFonts w:ascii="Times New Roman" w:hAnsi="Times New Roman" w:cs="Times New Roman"/>
          <w:lang w:val="es-ES"/>
        </w:rPr>
        <w:t>el grado del problema cambia hasta ser un problema severo de salud pública, como se muestra e</w:t>
      </w:r>
      <w:r w:rsidR="0068644F" w:rsidRPr="009F5B57">
        <w:rPr>
          <w:rFonts w:ascii="Times New Roman" w:hAnsi="Times New Roman" w:cs="Times New Roman"/>
          <w:lang w:val="es-ES"/>
        </w:rPr>
        <w:t>n</w:t>
      </w:r>
      <w:r w:rsidRPr="009F5B57">
        <w:rPr>
          <w:rFonts w:ascii="Times New Roman" w:hAnsi="Times New Roman" w:cs="Times New Roman"/>
          <w:lang w:val="es-ES"/>
        </w:rPr>
        <w:t xml:space="preserve"> la siguiente tabla.</w:t>
      </w:r>
    </w:p>
    <w:tbl>
      <w:tblPr>
        <w:tblStyle w:val="Sombreadoclaro-nfasis2"/>
        <w:tblW w:w="10548" w:type="dxa"/>
        <w:tblLook w:val="04A0" w:firstRow="1" w:lastRow="0" w:firstColumn="1" w:lastColumn="0" w:noHBand="0" w:noVBand="1"/>
      </w:tblPr>
      <w:tblGrid>
        <w:gridCol w:w="5274"/>
        <w:gridCol w:w="5274"/>
      </w:tblGrid>
      <w:tr w:rsidR="0046565A" w:rsidRPr="009F5B57" w14:paraId="5B3B1975" w14:textId="77777777" w:rsidTr="00947664">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0548" w:type="dxa"/>
            <w:gridSpan w:val="2"/>
          </w:tcPr>
          <w:p w14:paraId="35175596" w14:textId="488A9D96" w:rsidR="0046565A" w:rsidRPr="006019EE" w:rsidRDefault="00554336" w:rsidP="009F5B57">
            <w:pPr>
              <w:pStyle w:val="NormalWeb"/>
              <w:spacing w:line="360" w:lineRule="auto"/>
              <w:jc w:val="center"/>
              <w:rPr>
                <w:rFonts w:ascii="Times New Roman" w:hAnsi="Times New Roman"/>
                <w:bCs w:val="0"/>
                <w:color w:val="auto"/>
                <w:sz w:val="18"/>
                <w:szCs w:val="18"/>
                <w:lang w:val="es-ES"/>
              </w:rPr>
            </w:pPr>
            <w:r w:rsidRPr="006019EE">
              <w:rPr>
                <w:rFonts w:ascii="Times New Roman" w:hAnsi="Times New Roman"/>
                <w:sz w:val="18"/>
                <w:szCs w:val="18"/>
              </w:rPr>
              <w:t xml:space="preserve">Tabla 2.  </w:t>
            </w:r>
            <w:r w:rsidR="0046565A" w:rsidRPr="006019EE">
              <w:rPr>
                <w:rFonts w:ascii="Times New Roman" w:hAnsi="Times New Roman"/>
                <w:sz w:val="18"/>
                <w:szCs w:val="18"/>
              </w:rPr>
              <w:t>Clasificación de la anemia según el grado de significancia como problema de Salud Pública</w:t>
            </w:r>
          </w:p>
        </w:tc>
      </w:tr>
      <w:tr w:rsidR="006019EE" w:rsidRPr="009F5B57" w14:paraId="062A22D6" w14:textId="77777777" w:rsidTr="00947664">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5274" w:type="dxa"/>
          </w:tcPr>
          <w:p w14:paraId="054C7FAA" w14:textId="77777777" w:rsidR="0046565A" w:rsidRPr="006019EE" w:rsidRDefault="0046565A" w:rsidP="009F5B57">
            <w:pPr>
              <w:pStyle w:val="NormalWeb"/>
              <w:spacing w:line="360" w:lineRule="auto"/>
              <w:jc w:val="center"/>
              <w:rPr>
                <w:rFonts w:ascii="Times New Roman" w:hAnsi="Times New Roman"/>
                <w:color w:val="auto"/>
                <w:sz w:val="18"/>
                <w:szCs w:val="18"/>
              </w:rPr>
            </w:pPr>
            <w:r w:rsidRPr="006019EE">
              <w:rPr>
                <w:rFonts w:ascii="Times New Roman" w:hAnsi="Times New Roman"/>
                <w:color w:val="auto"/>
                <w:sz w:val="18"/>
                <w:szCs w:val="18"/>
              </w:rPr>
              <w:t>Grado de prevalencia %</w:t>
            </w:r>
          </w:p>
        </w:tc>
        <w:tc>
          <w:tcPr>
            <w:tcW w:w="5274" w:type="dxa"/>
          </w:tcPr>
          <w:p w14:paraId="62CA4E49" w14:textId="77777777" w:rsidR="0046565A" w:rsidRPr="006019EE" w:rsidRDefault="0046565A" w:rsidP="009F5B57">
            <w:pPr>
              <w:pStyle w:val="NormalWeb"/>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auto"/>
                <w:sz w:val="18"/>
                <w:szCs w:val="18"/>
              </w:rPr>
            </w:pPr>
            <w:r w:rsidRPr="006019EE">
              <w:rPr>
                <w:rFonts w:ascii="Times New Roman" w:hAnsi="Times New Roman"/>
                <w:b/>
                <w:bCs/>
                <w:color w:val="auto"/>
                <w:sz w:val="18"/>
                <w:szCs w:val="18"/>
              </w:rPr>
              <w:t>Categoría en significancia de salud pública</w:t>
            </w:r>
          </w:p>
        </w:tc>
      </w:tr>
      <w:tr w:rsidR="006019EE" w:rsidRPr="009F5B57" w14:paraId="46F21417" w14:textId="77777777" w:rsidTr="00947664">
        <w:trPr>
          <w:trHeight w:val="199"/>
        </w:trPr>
        <w:tc>
          <w:tcPr>
            <w:cnfStyle w:val="001000000000" w:firstRow="0" w:lastRow="0" w:firstColumn="1" w:lastColumn="0" w:oddVBand="0" w:evenVBand="0" w:oddHBand="0" w:evenHBand="0" w:firstRowFirstColumn="0" w:firstRowLastColumn="0" w:lastRowFirstColumn="0" w:lastRowLastColumn="0"/>
            <w:tcW w:w="5274" w:type="dxa"/>
          </w:tcPr>
          <w:p w14:paraId="198716D4" w14:textId="77777777" w:rsidR="0046565A" w:rsidRPr="006019EE" w:rsidRDefault="0046565A" w:rsidP="009F5B57">
            <w:pPr>
              <w:pStyle w:val="NormalWeb"/>
              <w:spacing w:line="360" w:lineRule="auto"/>
              <w:jc w:val="center"/>
              <w:rPr>
                <w:rFonts w:ascii="Times New Roman" w:hAnsi="Times New Roman"/>
                <w:color w:val="auto"/>
                <w:sz w:val="18"/>
                <w:szCs w:val="18"/>
              </w:rPr>
            </w:pPr>
            <w:r w:rsidRPr="006019EE">
              <w:rPr>
                <w:rFonts w:ascii="Times New Roman" w:hAnsi="Times New Roman"/>
                <w:color w:val="auto"/>
                <w:sz w:val="18"/>
                <w:szCs w:val="18"/>
              </w:rPr>
              <w:t>&lt;= 4.9</w:t>
            </w:r>
          </w:p>
        </w:tc>
        <w:tc>
          <w:tcPr>
            <w:tcW w:w="5274" w:type="dxa"/>
          </w:tcPr>
          <w:p w14:paraId="6E83877F" w14:textId="77777777" w:rsidR="0046565A" w:rsidRPr="006019EE" w:rsidRDefault="0046565A" w:rsidP="009F5B57">
            <w:pPr>
              <w:pStyle w:val="NormalWeb"/>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sidRPr="006019EE">
              <w:rPr>
                <w:rFonts w:ascii="Times New Roman" w:hAnsi="Times New Roman"/>
                <w:color w:val="auto"/>
                <w:sz w:val="18"/>
                <w:szCs w:val="18"/>
              </w:rPr>
              <w:t>No es un problema de salud pública</w:t>
            </w:r>
          </w:p>
        </w:tc>
      </w:tr>
      <w:tr w:rsidR="006019EE" w:rsidRPr="009F5B57" w14:paraId="6BFA2037" w14:textId="77777777" w:rsidTr="00947664">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5274" w:type="dxa"/>
          </w:tcPr>
          <w:p w14:paraId="4FF9810F" w14:textId="77777777" w:rsidR="0046565A" w:rsidRPr="006019EE" w:rsidRDefault="0046565A" w:rsidP="009F5B57">
            <w:pPr>
              <w:pStyle w:val="NormalWeb"/>
              <w:spacing w:line="360" w:lineRule="auto"/>
              <w:jc w:val="center"/>
              <w:rPr>
                <w:rFonts w:ascii="Times New Roman" w:hAnsi="Times New Roman"/>
                <w:color w:val="auto"/>
                <w:sz w:val="18"/>
                <w:szCs w:val="18"/>
              </w:rPr>
            </w:pPr>
            <w:r w:rsidRPr="006019EE">
              <w:rPr>
                <w:rFonts w:ascii="Times New Roman" w:hAnsi="Times New Roman"/>
                <w:color w:val="auto"/>
                <w:sz w:val="18"/>
                <w:szCs w:val="18"/>
              </w:rPr>
              <w:t>5.0-19.9</w:t>
            </w:r>
          </w:p>
        </w:tc>
        <w:tc>
          <w:tcPr>
            <w:tcW w:w="5274" w:type="dxa"/>
          </w:tcPr>
          <w:p w14:paraId="31D8F9F6" w14:textId="6F94A152" w:rsidR="0046565A" w:rsidRPr="006019EE" w:rsidRDefault="0046565A" w:rsidP="009F5B57">
            <w:pPr>
              <w:pStyle w:val="NormalWeb"/>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auto"/>
                <w:sz w:val="18"/>
                <w:szCs w:val="18"/>
              </w:rPr>
            </w:pPr>
            <w:r w:rsidRPr="006019EE">
              <w:rPr>
                <w:rFonts w:ascii="Times New Roman" w:hAnsi="Times New Roman"/>
                <w:b/>
                <w:bCs/>
                <w:color w:val="auto"/>
                <w:sz w:val="18"/>
                <w:szCs w:val="18"/>
              </w:rPr>
              <w:t>Problema pequeño de salud pública</w:t>
            </w:r>
          </w:p>
        </w:tc>
      </w:tr>
      <w:tr w:rsidR="006019EE" w:rsidRPr="009F5B57" w14:paraId="409C2002" w14:textId="77777777" w:rsidTr="00947664">
        <w:trPr>
          <w:trHeight w:val="151"/>
        </w:trPr>
        <w:tc>
          <w:tcPr>
            <w:cnfStyle w:val="001000000000" w:firstRow="0" w:lastRow="0" w:firstColumn="1" w:lastColumn="0" w:oddVBand="0" w:evenVBand="0" w:oddHBand="0" w:evenHBand="0" w:firstRowFirstColumn="0" w:firstRowLastColumn="0" w:lastRowFirstColumn="0" w:lastRowLastColumn="0"/>
            <w:tcW w:w="5274" w:type="dxa"/>
          </w:tcPr>
          <w:p w14:paraId="75B2D39D" w14:textId="77777777" w:rsidR="0046565A" w:rsidRPr="006019EE" w:rsidRDefault="0046565A" w:rsidP="009F5B57">
            <w:pPr>
              <w:pStyle w:val="NormalWeb"/>
              <w:spacing w:line="360" w:lineRule="auto"/>
              <w:jc w:val="center"/>
              <w:rPr>
                <w:rFonts w:ascii="Times New Roman" w:hAnsi="Times New Roman"/>
                <w:color w:val="auto"/>
                <w:sz w:val="18"/>
                <w:szCs w:val="18"/>
              </w:rPr>
            </w:pPr>
            <w:r w:rsidRPr="006019EE">
              <w:rPr>
                <w:rFonts w:ascii="Times New Roman" w:hAnsi="Times New Roman"/>
                <w:color w:val="auto"/>
                <w:sz w:val="18"/>
                <w:szCs w:val="18"/>
              </w:rPr>
              <w:t>20.0-39.9</w:t>
            </w:r>
          </w:p>
        </w:tc>
        <w:tc>
          <w:tcPr>
            <w:tcW w:w="5274" w:type="dxa"/>
          </w:tcPr>
          <w:p w14:paraId="686D3521" w14:textId="77777777" w:rsidR="0046565A" w:rsidRPr="006019EE" w:rsidRDefault="0046565A" w:rsidP="009F5B57">
            <w:pPr>
              <w:pStyle w:val="NormalWeb"/>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sidRPr="006019EE">
              <w:rPr>
                <w:rFonts w:ascii="Times New Roman" w:hAnsi="Times New Roman"/>
                <w:color w:val="auto"/>
                <w:sz w:val="18"/>
                <w:szCs w:val="18"/>
              </w:rPr>
              <w:t>Problema moderado de salud pública</w:t>
            </w:r>
          </w:p>
        </w:tc>
      </w:tr>
      <w:tr w:rsidR="006019EE" w:rsidRPr="009F5B57" w14:paraId="524B4FA6" w14:textId="77777777" w:rsidTr="00947664">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5274" w:type="dxa"/>
          </w:tcPr>
          <w:p w14:paraId="4084D195" w14:textId="77777777" w:rsidR="0046565A" w:rsidRPr="006019EE" w:rsidRDefault="0046565A" w:rsidP="009F5B57">
            <w:pPr>
              <w:pStyle w:val="NormalWeb"/>
              <w:spacing w:line="360" w:lineRule="auto"/>
              <w:jc w:val="center"/>
              <w:rPr>
                <w:rFonts w:ascii="Times New Roman" w:hAnsi="Times New Roman"/>
                <w:color w:val="auto"/>
                <w:sz w:val="18"/>
                <w:szCs w:val="18"/>
              </w:rPr>
            </w:pPr>
            <w:r w:rsidRPr="006019EE">
              <w:rPr>
                <w:rFonts w:ascii="Times New Roman" w:hAnsi="Times New Roman"/>
                <w:color w:val="auto"/>
                <w:sz w:val="18"/>
                <w:szCs w:val="18"/>
              </w:rPr>
              <w:t>&gt;=40.0</w:t>
            </w:r>
          </w:p>
        </w:tc>
        <w:tc>
          <w:tcPr>
            <w:tcW w:w="5274" w:type="dxa"/>
          </w:tcPr>
          <w:p w14:paraId="42690756" w14:textId="77777777" w:rsidR="0046565A" w:rsidRPr="006019EE" w:rsidRDefault="0046565A" w:rsidP="009F5B57">
            <w:pPr>
              <w:pStyle w:val="NormalWeb"/>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auto"/>
                <w:sz w:val="18"/>
                <w:szCs w:val="18"/>
              </w:rPr>
            </w:pPr>
            <w:r w:rsidRPr="006019EE">
              <w:rPr>
                <w:rFonts w:ascii="Times New Roman" w:hAnsi="Times New Roman"/>
                <w:b/>
                <w:bCs/>
                <w:color w:val="auto"/>
                <w:sz w:val="18"/>
                <w:szCs w:val="18"/>
              </w:rPr>
              <w:t>Problema severo de salud pública</w:t>
            </w:r>
          </w:p>
        </w:tc>
      </w:tr>
    </w:tbl>
    <w:p w14:paraId="399A6D52" w14:textId="5B6565FC" w:rsidR="0046565A" w:rsidRPr="00947664" w:rsidRDefault="0046565A" w:rsidP="00947664">
      <w:pPr>
        <w:spacing w:line="360" w:lineRule="auto"/>
        <w:rPr>
          <w:rFonts w:ascii="Times New Roman" w:hAnsi="Times New Roman" w:cs="Times New Roman"/>
          <w:sz w:val="14"/>
          <w:szCs w:val="14"/>
          <w:lang w:val="es-ES"/>
        </w:rPr>
      </w:pPr>
      <w:r w:rsidRPr="00695261">
        <w:rPr>
          <w:rFonts w:ascii="Times New Roman" w:hAnsi="Times New Roman" w:cs="Times New Roman"/>
          <w:sz w:val="14"/>
          <w:szCs w:val="14"/>
          <w:lang w:val="es-ES"/>
        </w:rPr>
        <w:t>Tomado de </w:t>
      </w:r>
      <w:r w:rsidR="001B666C" w:rsidRPr="00695261">
        <w:rPr>
          <w:rFonts w:ascii="Times New Roman" w:hAnsi="Times New Roman" w:cs="Times New Roman"/>
          <w:sz w:val="14"/>
          <w:szCs w:val="14"/>
          <w:lang w:val="es-ES"/>
        </w:rPr>
        <w:t xml:space="preserve"> OMS</w:t>
      </w:r>
      <w:r w:rsidRPr="00695261">
        <w:rPr>
          <w:rFonts w:ascii="Times New Roman" w:hAnsi="Times New Roman" w:cs="Times New Roman"/>
          <w:sz w:val="14"/>
          <w:szCs w:val="14"/>
          <w:lang w:val="es-ES"/>
        </w:rPr>
        <w:t xml:space="preserve"> (2011) Concentraciones de hemoglobina para diagnosticar anemia al nivel del mar (g/l)±  </w:t>
      </w:r>
      <w:hyperlink r:id="rId9" w:history="1">
        <w:r w:rsidRPr="00695261">
          <w:rPr>
            <w:rStyle w:val="Hipervnculo"/>
            <w:rFonts w:ascii="Times New Roman" w:hAnsi="Times New Roman" w:cs="Times New Roman"/>
            <w:sz w:val="14"/>
            <w:szCs w:val="14"/>
            <w:lang w:val="es-ES"/>
          </w:rPr>
          <w:t>http://www.who.int/vmnis/indicators/haemoglobin_es.pdf</w:t>
        </w:r>
      </w:hyperlink>
      <w:r w:rsidR="00513CAC" w:rsidRPr="00695261">
        <w:rPr>
          <w:rStyle w:val="Hipervnculo"/>
          <w:rFonts w:ascii="Times New Roman" w:hAnsi="Times New Roman" w:cs="Times New Roman"/>
          <w:sz w:val="14"/>
          <w:szCs w:val="14"/>
          <w:lang w:val="es-ES"/>
        </w:rPr>
        <w:t xml:space="preserve"> </w:t>
      </w:r>
    </w:p>
    <w:p w14:paraId="7402651E" w14:textId="488B871A" w:rsidR="00986800" w:rsidRPr="009F5B57" w:rsidRDefault="00986800" w:rsidP="009F5B57">
      <w:pPr>
        <w:spacing w:line="360" w:lineRule="auto"/>
        <w:ind w:firstLine="709"/>
        <w:jc w:val="both"/>
        <w:rPr>
          <w:rFonts w:ascii="Times New Roman" w:hAnsi="Times New Roman" w:cs="Times New Roman"/>
          <w:lang w:val="es-ES"/>
        </w:rPr>
      </w:pPr>
      <w:r w:rsidRPr="009F5B57">
        <w:rPr>
          <w:rFonts w:ascii="Times New Roman" w:hAnsi="Times New Roman" w:cs="Times New Roman"/>
          <w:lang w:val="es-ES"/>
        </w:rPr>
        <w:lastRenderedPageBreak/>
        <w:t>México no tiene problemas severos de salud pública respecto a la anemia</w:t>
      </w:r>
      <w:r w:rsidR="00A02F95" w:rsidRPr="009F5B57">
        <w:rPr>
          <w:rFonts w:ascii="Times New Roman" w:hAnsi="Times New Roman" w:cs="Times New Roman"/>
          <w:lang w:val="es-ES"/>
        </w:rPr>
        <w:t xml:space="preserve"> de acuerdo con la clasificación de la OMS</w:t>
      </w:r>
      <w:r w:rsidRPr="009F5B57">
        <w:rPr>
          <w:rFonts w:ascii="Times New Roman" w:hAnsi="Times New Roman" w:cs="Times New Roman"/>
          <w:lang w:val="es-ES"/>
        </w:rPr>
        <w:t xml:space="preserve">, sin </w:t>
      </w:r>
      <w:r w:rsidR="006C6041" w:rsidRPr="009F5B57">
        <w:rPr>
          <w:rFonts w:ascii="Times New Roman" w:hAnsi="Times New Roman" w:cs="Times New Roman"/>
          <w:lang w:val="es-ES"/>
        </w:rPr>
        <w:t>embargo</w:t>
      </w:r>
      <w:r w:rsidRPr="009F5B57">
        <w:rPr>
          <w:rFonts w:ascii="Times New Roman" w:hAnsi="Times New Roman" w:cs="Times New Roman"/>
          <w:lang w:val="es-ES"/>
        </w:rPr>
        <w:t xml:space="preserve"> es una enfermedad que afecta a </w:t>
      </w:r>
      <w:r w:rsidR="00070A4C" w:rsidRPr="009F5B57">
        <w:rPr>
          <w:rFonts w:ascii="Times New Roman" w:hAnsi="Times New Roman" w:cs="Times New Roman"/>
          <w:lang w:val="es-ES"/>
        </w:rPr>
        <w:t xml:space="preserve">un </w:t>
      </w:r>
      <w:r w:rsidR="00945D3E" w:rsidRPr="009F5B57">
        <w:rPr>
          <w:rFonts w:ascii="Times New Roman" w:hAnsi="Times New Roman" w:cs="Times New Roman"/>
          <w:lang w:val="es-ES"/>
        </w:rPr>
        <w:t>porcentaje</w:t>
      </w:r>
      <w:r w:rsidR="00070A4C" w:rsidRPr="009F5B57">
        <w:rPr>
          <w:rFonts w:ascii="Times New Roman" w:hAnsi="Times New Roman" w:cs="Times New Roman"/>
          <w:lang w:val="es-ES"/>
        </w:rPr>
        <w:t xml:space="preserve"> significativo </w:t>
      </w:r>
      <w:r w:rsidR="00945D3E" w:rsidRPr="009F5B57">
        <w:rPr>
          <w:rFonts w:ascii="Times New Roman" w:hAnsi="Times New Roman" w:cs="Times New Roman"/>
          <w:lang w:val="es-ES"/>
        </w:rPr>
        <w:t>de mexicanos</w:t>
      </w:r>
      <w:r w:rsidR="00070A4C" w:rsidRPr="009F5B57">
        <w:rPr>
          <w:rFonts w:ascii="Times New Roman" w:hAnsi="Times New Roman" w:cs="Times New Roman"/>
          <w:lang w:val="es-ES"/>
        </w:rPr>
        <w:t xml:space="preserve">, 23 % de la población en edad escolar y 5.6 % de los adolescentes. </w:t>
      </w:r>
      <w:r w:rsidR="00945D3E" w:rsidRPr="009F5B57">
        <w:rPr>
          <w:rFonts w:ascii="Times New Roman" w:hAnsi="Times New Roman" w:cs="Times New Roman"/>
          <w:lang w:val="es-ES"/>
        </w:rPr>
        <w:t>S</w:t>
      </w:r>
      <w:r w:rsidRPr="009F5B57">
        <w:rPr>
          <w:rFonts w:ascii="Times New Roman" w:hAnsi="Times New Roman" w:cs="Times New Roman"/>
          <w:lang w:val="es-ES"/>
        </w:rPr>
        <w:t>e</w:t>
      </w:r>
      <w:r w:rsidR="00945D3E" w:rsidRPr="009F5B57">
        <w:rPr>
          <w:rFonts w:ascii="Times New Roman" w:hAnsi="Times New Roman" w:cs="Times New Roman"/>
          <w:lang w:val="es-ES"/>
        </w:rPr>
        <w:t xml:space="preserve"> han realizado diversos estudios en el país para poder tener una mejor explicación de las causas e implicaciones</w:t>
      </w:r>
      <w:r w:rsidR="00070A4C" w:rsidRPr="009F5B57">
        <w:rPr>
          <w:rFonts w:ascii="Times New Roman" w:hAnsi="Times New Roman" w:cs="Times New Roman"/>
          <w:lang w:val="es-ES"/>
        </w:rPr>
        <w:t xml:space="preserve"> que la anemia tiene en sus habitantes. Co</w:t>
      </w:r>
      <w:r w:rsidR="00945D3E" w:rsidRPr="009F5B57">
        <w:rPr>
          <w:rFonts w:ascii="Times New Roman" w:hAnsi="Times New Roman" w:cs="Times New Roman"/>
          <w:lang w:val="es-ES"/>
        </w:rPr>
        <w:t>mo muestra de ello se hace referencia a</w:t>
      </w:r>
      <w:r w:rsidRPr="009F5B57">
        <w:rPr>
          <w:rFonts w:ascii="Times New Roman" w:hAnsi="Times New Roman" w:cs="Times New Roman"/>
          <w:lang w:val="es-ES"/>
        </w:rPr>
        <w:t xml:space="preserve"> dos estudios</w:t>
      </w:r>
      <w:r w:rsidR="00046388">
        <w:rPr>
          <w:rFonts w:ascii="Times New Roman" w:hAnsi="Times New Roman" w:cs="Times New Roman"/>
          <w:lang w:val="es-ES"/>
        </w:rPr>
        <w:t xml:space="preserve"> realizados </w:t>
      </w:r>
      <w:r w:rsidRPr="009F5B57">
        <w:rPr>
          <w:rFonts w:ascii="Times New Roman" w:hAnsi="Times New Roman" w:cs="Times New Roman"/>
          <w:lang w:val="es-ES"/>
        </w:rPr>
        <w:t>en diferentes años</w:t>
      </w:r>
      <w:r w:rsidR="006C6041" w:rsidRPr="009F5B57">
        <w:rPr>
          <w:rFonts w:ascii="Times New Roman" w:hAnsi="Times New Roman" w:cs="Times New Roman"/>
          <w:lang w:val="es-ES"/>
        </w:rPr>
        <w:t>:</w:t>
      </w:r>
    </w:p>
    <w:p w14:paraId="48EEFFCE" w14:textId="3CD00441" w:rsidR="00046388" w:rsidRPr="00947664" w:rsidRDefault="00947664" w:rsidP="00947664">
      <w:pPr>
        <w:spacing w:line="360" w:lineRule="auto"/>
        <w:jc w:val="both"/>
        <w:rPr>
          <w:rFonts w:ascii="Times New Roman" w:hAnsi="Times New Roman" w:cs="Times New Roman"/>
          <w:color w:val="262626"/>
          <w:lang w:val="es-ES"/>
        </w:rPr>
      </w:pPr>
      <w:r>
        <w:rPr>
          <w:rFonts w:ascii="Times New Roman" w:hAnsi="Times New Roman" w:cs="Times New Roman"/>
        </w:rPr>
        <w:t>1.-</w:t>
      </w:r>
      <w:r w:rsidR="00046388" w:rsidRPr="00947664">
        <w:rPr>
          <w:rFonts w:ascii="Times New Roman" w:hAnsi="Times New Roman" w:cs="Times New Roman"/>
        </w:rPr>
        <w:t xml:space="preserve">El </w:t>
      </w:r>
      <w:r w:rsidR="0046565A" w:rsidRPr="00947664">
        <w:rPr>
          <w:rFonts w:ascii="Times New Roman" w:hAnsi="Times New Roman" w:cs="Times New Roman"/>
        </w:rPr>
        <w:t xml:space="preserve">objetivo </w:t>
      </w:r>
      <w:r w:rsidR="00046388" w:rsidRPr="00947664">
        <w:rPr>
          <w:rFonts w:ascii="Times New Roman" w:hAnsi="Times New Roman" w:cs="Times New Roman"/>
        </w:rPr>
        <w:t xml:space="preserve">del estudio </w:t>
      </w:r>
      <w:r w:rsidR="0046565A" w:rsidRPr="00947664">
        <w:rPr>
          <w:rFonts w:ascii="Times New Roman" w:hAnsi="Times New Roman" w:cs="Times New Roman"/>
        </w:rPr>
        <w:t>fue desc</w:t>
      </w:r>
      <w:r w:rsidR="00070A4C" w:rsidRPr="00947664">
        <w:rPr>
          <w:rFonts w:ascii="Times New Roman" w:hAnsi="Times New Roman" w:cs="Times New Roman"/>
        </w:rPr>
        <w:t>ribir</w:t>
      </w:r>
      <w:r w:rsidR="0046565A" w:rsidRPr="00947664">
        <w:rPr>
          <w:rFonts w:ascii="Times New Roman" w:hAnsi="Times New Roman" w:cs="Times New Roman"/>
        </w:rPr>
        <w:t xml:space="preserve"> la epidemiología de las d</w:t>
      </w:r>
      <w:r w:rsidR="002B1591" w:rsidRPr="00947664">
        <w:rPr>
          <w:rFonts w:ascii="Times New Roman" w:hAnsi="Times New Roman" w:cs="Times New Roman"/>
        </w:rPr>
        <w:t>eficiencia</w:t>
      </w:r>
      <w:r w:rsidR="0046565A" w:rsidRPr="00947664">
        <w:rPr>
          <w:rFonts w:ascii="Times New Roman" w:hAnsi="Times New Roman" w:cs="Times New Roman"/>
        </w:rPr>
        <w:t xml:space="preserve"> de hierro, zinc y yodo</w:t>
      </w:r>
      <w:r w:rsidR="002B1591" w:rsidRPr="00947664">
        <w:rPr>
          <w:rFonts w:ascii="Times New Roman" w:hAnsi="Times New Roman" w:cs="Times New Roman"/>
        </w:rPr>
        <w:t>,</w:t>
      </w:r>
      <w:r w:rsidR="0046565A" w:rsidRPr="00947664">
        <w:rPr>
          <w:rFonts w:ascii="Times New Roman" w:hAnsi="Times New Roman" w:cs="Times New Roman"/>
        </w:rPr>
        <w:t xml:space="preserve"> realizado en México </w:t>
      </w:r>
      <w:r w:rsidR="002B1591" w:rsidRPr="00947664">
        <w:rPr>
          <w:rFonts w:ascii="Times New Roman" w:hAnsi="Times New Roman" w:cs="Times New Roman"/>
        </w:rPr>
        <w:t>en una población de</w:t>
      </w:r>
      <w:r w:rsidR="0046565A" w:rsidRPr="00947664">
        <w:rPr>
          <w:rFonts w:ascii="Times New Roman" w:hAnsi="Times New Roman" w:cs="Times New Roman"/>
        </w:rPr>
        <w:t xml:space="preserve"> 1</w:t>
      </w:r>
      <w:r w:rsidR="001B666C" w:rsidRPr="00947664">
        <w:rPr>
          <w:rFonts w:ascii="Times New Roman" w:hAnsi="Times New Roman" w:cs="Times New Roman"/>
        </w:rPr>
        <w:t xml:space="preserve"> </w:t>
      </w:r>
      <w:r w:rsidR="0046565A" w:rsidRPr="00947664">
        <w:rPr>
          <w:rFonts w:ascii="Times New Roman" w:hAnsi="Times New Roman" w:cs="Times New Roman"/>
        </w:rPr>
        <w:t>363 niños y 731 mujeres, se obtuvo como resultado que la deficiencia de hierro fue mayor en niños menores de 2 años con un porcentaje del 67</w:t>
      </w:r>
      <w:r w:rsidR="002B1591" w:rsidRPr="00947664">
        <w:rPr>
          <w:rFonts w:ascii="Times New Roman" w:hAnsi="Times New Roman" w:cs="Times New Roman"/>
        </w:rPr>
        <w:t xml:space="preserve"> </w:t>
      </w:r>
      <w:r w:rsidR="0046565A" w:rsidRPr="00947664">
        <w:rPr>
          <w:rFonts w:ascii="Times New Roman" w:hAnsi="Times New Roman" w:cs="Times New Roman"/>
        </w:rPr>
        <w:t>%, esta prevalencia disminuyó en niños con edad escolar (hasta los 12 años) a un 34-39</w:t>
      </w:r>
      <w:r w:rsidR="002B1591" w:rsidRPr="00947664">
        <w:rPr>
          <w:rFonts w:ascii="Times New Roman" w:hAnsi="Times New Roman" w:cs="Times New Roman"/>
        </w:rPr>
        <w:t xml:space="preserve"> </w:t>
      </w:r>
      <w:r w:rsidR="0046565A" w:rsidRPr="00947664">
        <w:rPr>
          <w:rFonts w:ascii="Times New Roman" w:hAnsi="Times New Roman" w:cs="Times New Roman"/>
        </w:rPr>
        <w:t>%</w:t>
      </w:r>
      <w:r w:rsidR="002B1591" w:rsidRPr="00947664">
        <w:rPr>
          <w:rFonts w:ascii="Times New Roman" w:hAnsi="Times New Roman" w:cs="Times New Roman"/>
        </w:rPr>
        <w:t xml:space="preserve">: </w:t>
      </w:r>
      <w:r w:rsidR="0046565A" w:rsidRPr="00947664">
        <w:rPr>
          <w:rFonts w:ascii="Times New Roman" w:hAnsi="Times New Roman" w:cs="Times New Roman"/>
        </w:rPr>
        <w:t>La prevalencia en deficiencia de hierro fue mayor en niños de zonas rurales</w:t>
      </w:r>
      <w:r w:rsidR="002B1591" w:rsidRPr="00947664">
        <w:rPr>
          <w:rFonts w:ascii="Times New Roman" w:hAnsi="Times New Roman" w:cs="Times New Roman"/>
        </w:rPr>
        <w:t xml:space="preserve">, mientras que en </w:t>
      </w:r>
      <w:r w:rsidR="0046565A" w:rsidRPr="00947664">
        <w:rPr>
          <w:rFonts w:ascii="Times New Roman" w:hAnsi="Times New Roman" w:cs="Times New Roman"/>
        </w:rPr>
        <w:t>mujeres</w:t>
      </w:r>
      <w:r w:rsidR="002B1591" w:rsidRPr="00947664">
        <w:rPr>
          <w:rFonts w:ascii="Times New Roman" w:hAnsi="Times New Roman" w:cs="Times New Roman"/>
        </w:rPr>
        <w:t xml:space="preserve"> (12 -49 años de edad)</w:t>
      </w:r>
      <w:r w:rsidR="0046565A" w:rsidRPr="00947664">
        <w:rPr>
          <w:rFonts w:ascii="Times New Roman" w:hAnsi="Times New Roman" w:cs="Times New Roman"/>
        </w:rPr>
        <w:t xml:space="preserve">  la deficiencia en hierro </w:t>
      </w:r>
      <w:r w:rsidR="002B1591" w:rsidRPr="00947664">
        <w:rPr>
          <w:rFonts w:ascii="Times New Roman" w:hAnsi="Times New Roman" w:cs="Times New Roman"/>
        </w:rPr>
        <w:t xml:space="preserve">fue </w:t>
      </w:r>
      <w:r w:rsidR="0046565A" w:rsidRPr="00947664">
        <w:rPr>
          <w:rFonts w:ascii="Times New Roman" w:hAnsi="Times New Roman" w:cs="Times New Roman"/>
        </w:rPr>
        <w:t>de un 40</w:t>
      </w:r>
      <w:r w:rsidR="002B1591" w:rsidRPr="00947664">
        <w:rPr>
          <w:rFonts w:ascii="Times New Roman" w:hAnsi="Times New Roman" w:cs="Times New Roman"/>
        </w:rPr>
        <w:t xml:space="preserve"> </w:t>
      </w:r>
      <w:r w:rsidR="0046565A" w:rsidRPr="00947664">
        <w:rPr>
          <w:rFonts w:ascii="Times New Roman" w:hAnsi="Times New Roman" w:cs="Times New Roman"/>
        </w:rPr>
        <w:t>%</w:t>
      </w:r>
      <w:r w:rsidR="0046565A" w:rsidRPr="00947664">
        <w:rPr>
          <w:rFonts w:ascii="Times New Roman" w:hAnsi="Times New Roman" w:cs="Times New Roman"/>
          <w:lang w:val="es-ES"/>
        </w:rPr>
        <w:t xml:space="preserve"> (Salvador Villalpando et al</w:t>
      </w:r>
      <w:r w:rsidR="002B1591" w:rsidRPr="00947664">
        <w:rPr>
          <w:rFonts w:ascii="Times New Roman" w:hAnsi="Times New Roman" w:cs="Times New Roman"/>
          <w:lang w:val="es-ES"/>
        </w:rPr>
        <w:t>.</w:t>
      </w:r>
      <w:r w:rsidR="0046565A" w:rsidRPr="00947664">
        <w:rPr>
          <w:rFonts w:ascii="Times New Roman" w:hAnsi="Times New Roman" w:cs="Times New Roman"/>
          <w:lang w:val="es-ES"/>
        </w:rPr>
        <w:t>, 2003)</w:t>
      </w:r>
      <w:r w:rsidR="00513CAC" w:rsidRPr="00947664">
        <w:rPr>
          <w:rFonts w:ascii="Times New Roman" w:hAnsi="Times New Roman" w:cs="Times New Roman"/>
          <w:lang w:val="es-ES"/>
        </w:rPr>
        <w:t xml:space="preserve"> </w:t>
      </w:r>
      <w:r w:rsidR="00070A4C" w:rsidRPr="00947664">
        <w:rPr>
          <w:rFonts w:ascii="Times New Roman" w:hAnsi="Times New Roman" w:cs="Times New Roman"/>
          <w:color w:val="262626"/>
          <w:lang w:val="es-ES"/>
        </w:rPr>
        <w:t xml:space="preserve">. </w:t>
      </w:r>
    </w:p>
    <w:p w14:paraId="2FEC7F77" w14:textId="17B438F7" w:rsidR="00046388" w:rsidRPr="00947664" w:rsidRDefault="00947664" w:rsidP="00947664">
      <w:pPr>
        <w:spacing w:line="360" w:lineRule="auto"/>
        <w:jc w:val="both"/>
        <w:rPr>
          <w:rFonts w:ascii="Times New Roman" w:hAnsi="Times New Roman" w:cs="Times New Roman"/>
          <w:color w:val="262626"/>
          <w:lang w:val="es-ES"/>
        </w:rPr>
      </w:pPr>
      <w:r>
        <w:rPr>
          <w:rFonts w:ascii="Times New Roman" w:hAnsi="Times New Roman" w:cs="Times New Roman"/>
          <w:color w:val="262626"/>
          <w:lang w:val="es-ES"/>
        </w:rPr>
        <w:t xml:space="preserve">2.- </w:t>
      </w:r>
      <w:r w:rsidR="0046565A" w:rsidRPr="00947664">
        <w:rPr>
          <w:rFonts w:ascii="Times New Roman" w:hAnsi="Times New Roman" w:cs="Times New Roman"/>
          <w:color w:val="262626"/>
          <w:lang w:val="es-ES"/>
        </w:rPr>
        <w:t>En el 2006 se volvió a realizar un estudio similar con el fin de e</w:t>
      </w:r>
      <w:r w:rsidR="00070A4C" w:rsidRPr="00947664">
        <w:rPr>
          <w:rFonts w:ascii="Times New Roman" w:hAnsi="Times New Roman" w:cs="Times New Roman"/>
          <w:color w:val="262626"/>
          <w:lang w:val="es-ES"/>
        </w:rPr>
        <w:t>valuar</w:t>
      </w:r>
      <w:r w:rsidR="0046565A" w:rsidRPr="00947664">
        <w:rPr>
          <w:rFonts w:ascii="Times New Roman" w:hAnsi="Times New Roman" w:cs="Times New Roman"/>
          <w:color w:val="262626"/>
          <w:lang w:val="es-ES"/>
        </w:rPr>
        <w:t xml:space="preserve"> la deficiencia de hierro y anemia en niños mexicanos. Para este e</w:t>
      </w:r>
      <w:r w:rsidR="001B666C" w:rsidRPr="00947664">
        <w:rPr>
          <w:rFonts w:ascii="Times New Roman" w:hAnsi="Times New Roman" w:cs="Times New Roman"/>
          <w:color w:val="262626"/>
          <w:lang w:val="es-ES"/>
        </w:rPr>
        <w:t xml:space="preserve">studio se tomó como muestra a 1 </w:t>
      </w:r>
      <w:r w:rsidR="0046565A" w:rsidRPr="00947664">
        <w:rPr>
          <w:rFonts w:ascii="Times New Roman" w:hAnsi="Times New Roman" w:cs="Times New Roman"/>
          <w:color w:val="262626"/>
          <w:lang w:val="es-ES"/>
        </w:rPr>
        <w:t xml:space="preserve">467 </w:t>
      </w:r>
      <w:r w:rsidR="002B1591" w:rsidRPr="00947664">
        <w:rPr>
          <w:rFonts w:ascii="Times New Roman" w:hAnsi="Times New Roman" w:cs="Times New Roman"/>
          <w:color w:val="262626"/>
          <w:lang w:val="es-ES"/>
        </w:rPr>
        <w:t>niños de 12 a 23 meses de edad;</w:t>
      </w:r>
      <w:r w:rsidR="001B666C" w:rsidRPr="00947664">
        <w:rPr>
          <w:rFonts w:ascii="Times New Roman" w:hAnsi="Times New Roman" w:cs="Times New Roman"/>
          <w:color w:val="262626"/>
          <w:lang w:val="es-ES"/>
        </w:rPr>
        <w:t xml:space="preserve"> 1 </w:t>
      </w:r>
      <w:r w:rsidR="0046565A" w:rsidRPr="00947664">
        <w:rPr>
          <w:rFonts w:ascii="Times New Roman" w:hAnsi="Times New Roman" w:cs="Times New Roman"/>
          <w:color w:val="262626"/>
          <w:lang w:val="es-ES"/>
        </w:rPr>
        <w:t>562 infantes de 24 a</w:t>
      </w:r>
      <w:r w:rsidR="002B1591" w:rsidRPr="00947664">
        <w:rPr>
          <w:rFonts w:ascii="Times New Roman" w:hAnsi="Times New Roman" w:cs="Times New Roman"/>
          <w:color w:val="262626"/>
          <w:lang w:val="es-ES"/>
        </w:rPr>
        <w:t xml:space="preserve"> 35 meses;</w:t>
      </w:r>
      <w:r w:rsidR="001B666C" w:rsidRPr="00947664">
        <w:rPr>
          <w:rFonts w:ascii="Times New Roman" w:hAnsi="Times New Roman" w:cs="Times New Roman"/>
          <w:color w:val="262626"/>
          <w:lang w:val="es-ES"/>
        </w:rPr>
        <w:t xml:space="preserve"> 3 589 de 36 a 59 meses y 14 </w:t>
      </w:r>
      <w:r w:rsidR="0046565A" w:rsidRPr="00947664">
        <w:rPr>
          <w:rFonts w:ascii="Times New Roman" w:hAnsi="Times New Roman" w:cs="Times New Roman"/>
          <w:color w:val="262626"/>
          <w:lang w:val="es-ES"/>
        </w:rPr>
        <w:t>666 de 5 a 11 años</w:t>
      </w:r>
      <w:r w:rsidR="002B1591" w:rsidRPr="00947664">
        <w:rPr>
          <w:rFonts w:ascii="Times New Roman" w:hAnsi="Times New Roman" w:cs="Times New Roman"/>
          <w:color w:val="262626"/>
          <w:lang w:val="es-ES"/>
        </w:rPr>
        <w:t>. L</w:t>
      </w:r>
      <w:r w:rsidR="0046565A" w:rsidRPr="00947664">
        <w:rPr>
          <w:rFonts w:ascii="Times New Roman" w:hAnsi="Times New Roman" w:cs="Times New Roman"/>
          <w:color w:val="262626"/>
          <w:lang w:val="es-ES"/>
        </w:rPr>
        <w:t>os r</w:t>
      </w:r>
      <w:r w:rsidR="00722E51" w:rsidRPr="00947664">
        <w:rPr>
          <w:rFonts w:ascii="Times New Roman" w:hAnsi="Times New Roman" w:cs="Times New Roman"/>
          <w:color w:val="262626"/>
          <w:lang w:val="es-ES"/>
        </w:rPr>
        <w:t xml:space="preserve">esultados arrojados fueron que </w:t>
      </w:r>
      <w:r w:rsidR="0046565A" w:rsidRPr="00947664">
        <w:rPr>
          <w:rFonts w:ascii="Times New Roman" w:hAnsi="Times New Roman" w:cs="Times New Roman"/>
          <w:color w:val="262626"/>
          <w:lang w:val="es-ES"/>
        </w:rPr>
        <w:t>hay una prevalencia de deficiencia de hierro de</w:t>
      </w:r>
      <w:r w:rsidR="00070A4C" w:rsidRPr="00947664">
        <w:rPr>
          <w:rFonts w:ascii="Times New Roman" w:hAnsi="Times New Roman" w:cs="Times New Roman"/>
          <w:color w:val="262626"/>
          <w:lang w:val="es-ES"/>
        </w:rPr>
        <w:t>l</w:t>
      </w:r>
      <w:r w:rsidR="0046565A" w:rsidRPr="00947664">
        <w:rPr>
          <w:rFonts w:ascii="Times New Roman" w:hAnsi="Times New Roman" w:cs="Times New Roman"/>
          <w:color w:val="262626"/>
          <w:lang w:val="es-ES"/>
        </w:rPr>
        <w:t xml:space="preserve"> 37.8 % en los niños menores de 2 años, del 20</w:t>
      </w:r>
      <w:r w:rsidR="002B1591" w:rsidRPr="00947664">
        <w:rPr>
          <w:rFonts w:ascii="Times New Roman" w:hAnsi="Times New Roman" w:cs="Times New Roman"/>
          <w:color w:val="262626"/>
          <w:lang w:val="es-ES"/>
        </w:rPr>
        <w:t xml:space="preserve"> </w:t>
      </w:r>
      <w:r w:rsidR="0046565A" w:rsidRPr="00947664">
        <w:rPr>
          <w:rFonts w:ascii="Times New Roman" w:hAnsi="Times New Roman" w:cs="Times New Roman"/>
          <w:color w:val="262626"/>
          <w:lang w:val="es-ES"/>
        </w:rPr>
        <w:t>% en niños de entre dos y cinco años de edad y del 16.6</w:t>
      </w:r>
      <w:r w:rsidR="002B1591" w:rsidRPr="00947664">
        <w:rPr>
          <w:rFonts w:ascii="Times New Roman" w:hAnsi="Times New Roman" w:cs="Times New Roman"/>
          <w:color w:val="262626"/>
          <w:lang w:val="es-ES"/>
        </w:rPr>
        <w:t xml:space="preserve"> </w:t>
      </w:r>
      <w:r w:rsidR="0046565A" w:rsidRPr="00947664">
        <w:rPr>
          <w:rFonts w:ascii="Times New Roman" w:hAnsi="Times New Roman" w:cs="Times New Roman"/>
          <w:color w:val="262626"/>
          <w:lang w:val="es-ES"/>
        </w:rPr>
        <w:t xml:space="preserve">% en niños de 6 a 11 años de edad. </w:t>
      </w:r>
      <w:r w:rsidR="0046565A" w:rsidRPr="00947664">
        <w:rPr>
          <w:rFonts w:ascii="Times New Roman" w:hAnsi="Times New Roman" w:cs="Times New Roman"/>
          <w:lang w:val="es-ES"/>
        </w:rPr>
        <w:t>(Homero Martínez Salgado et al</w:t>
      </w:r>
      <w:r w:rsidR="002B1591" w:rsidRPr="00947664">
        <w:rPr>
          <w:rFonts w:ascii="Times New Roman" w:hAnsi="Times New Roman" w:cs="Times New Roman"/>
          <w:lang w:val="es-ES"/>
        </w:rPr>
        <w:t>.</w:t>
      </w:r>
      <w:r w:rsidR="0046565A" w:rsidRPr="00947664">
        <w:rPr>
          <w:rFonts w:ascii="Times New Roman" w:hAnsi="Times New Roman" w:cs="Times New Roman"/>
          <w:lang w:val="es-ES"/>
        </w:rPr>
        <w:t>, 2008)</w:t>
      </w:r>
      <w:r w:rsidR="00513CAC" w:rsidRPr="00947664">
        <w:rPr>
          <w:rFonts w:ascii="Times New Roman" w:hAnsi="Times New Roman" w:cs="Times New Roman"/>
          <w:lang w:val="es-ES"/>
        </w:rPr>
        <w:t xml:space="preserve"> </w:t>
      </w:r>
    </w:p>
    <w:p w14:paraId="7893B9C0" w14:textId="31A48AB9" w:rsidR="006C6041" w:rsidRPr="009F5B57" w:rsidRDefault="00695261" w:rsidP="009F5B57">
      <w:pPr>
        <w:spacing w:line="360" w:lineRule="auto"/>
        <w:ind w:firstLine="709"/>
        <w:jc w:val="both"/>
        <w:rPr>
          <w:rFonts w:ascii="Times New Roman" w:hAnsi="Times New Roman" w:cs="Times New Roman"/>
          <w:color w:val="262626"/>
          <w:lang w:val="es-ES"/>
        </w:rPr>
      </w:pPr>
      <w:r w:rsidRPr="009F5B57">
        <w:rPr>
          <w:rFonts w:ascii="Times New Roman" w:hAnsi="Times New Roman" w:cs="Times New Roman"/>
          <w:noProof/>
          <w:lang w:val="es-ES"/>
        </w:rPr>
        <w:drawing>
          <wp:anchor distT="0" distB="0" distL="114300" distR="114300" simplePos="0" relativeHeight="251659264" behindDoc="0" locked="0" layoutInCell="1" allowOverlap="1" wp14:anchorId="2F4FE244" wp14:editId="0241088C">
            <wp:simplePos x="0" y="0"/>
            <wp:positionH relativeFrom="column">
              <wp:posOffset>457200</wp:posOffset>
            </wp:positionH>
            <wp:positionV relativeFrom="paragraph">
              <wp:posOffset>1555115</wp:posOffset>
            </wp:positionV>
            <wp:extent cx="4686300" cy="1531620"/>
            <wp:effectExtent l="0" t="0" r="12700" b="17780"/>
            <wp:wrapTight wrapText="bothSides">
              <wp:wrapPolygon edited="0">
                <wp:start x="0" y="0"/>
                <wp:lineTo x="0" y="21493"/>
                <wp:lineTo x="21541" y="21493"/>
                <wp:lineTo x="21541" y="0"/>
                <wp:lineTo x="0" y="0"/>
              </wp:wrapPolygon>
            </wp:wrapTight>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B8729E" w:rsidRPr="009F5B57">
        <w:rPr>
          <w:rFonts w:ascii="Times New Roman" w:hAnsi="Times New Roman" w:cs="Times New Roman"/>
        </w:rPr>
        <w:t>Como</w:t>
      </w:r>
      <w:r w:rsidR="00945D3E" w:rsidRPr="009F5B57">
        <w:rPr>
          <w:rFonts w:ascii="Times New Roman" w:hAnsi="Times New Roman" w:cs="Times New Roman"/>
          <w:color w:val="262626"/>
          <w:lang w:val="es-ES"/>
        </w:rPr>
        <w:t xml:space="preserve"> </w:t>
      </w:r>
      <w:r w:rsidR="00722E51" w:rsidRPr="009F5B57">
        <w:rPr>
          <w:rFonts w:ascii="Times New Roman" w:hAnsi="Times New Roman" w:cs="Times New Roman"/>
          <w:color w:val="262626"/>
          <w:lang w:val="es-ES"/>
        </w:rPr>
        <w:t>se mencionó anteriormente,</w:t>
      </w:r>
      <w:r w:rsidR="006C6041" w:rsidRPr="009F5B57">
        <w:rPr>
          <w:rFonts w:ascii="Times New Roman" w:hAnsi="Times New Roman" w:cs="Times New Roman"/>
          <w:color w:val="262626"/>
          <w:lang w:val="es-ES"/>
        </w:rPr>
        <w:t xml:space="preserve"> debido a </w:t>
      </w:r>
      <w:r w:rsidR="00070A4C" w:rsidRPr="009F5B57">
        <w:rPr>
          <w:rFonts w:ascii="Times New Roman" w:hAnsi="Times New Roman" w:cs="Times New Roman"/>
          <w:color w:val="262626"/>
          <w:lang w:val="es-ES"/>
        </w:rPr>
        <w:t xml:space="preserve">que </w:t>
      </w:r>
      <w:r w:rsidR="006C6041" w:rsidRPr="009F5B57">
        <w:rPr>
          <w:rFonts w:ascii="Times New Roman" w:hAnsi="Times New Roman" w:cs="Times New Roman"/>
          <w:color w:val="262626"/>
          <w:lang w:val="es-ES"/>
        </w:rPr>
        <w:t>los niveles de a</w:t>
      </w:r>
      <w:r w:rsidR="00070A4C" w:rsidRPr="009F5B57">
        <w:rPr>
          <w:rFonts w:ascii="Times New Roman" w:hAnsi="Times New Roman" w:cs="Times New Roman"/>
          <w:color w:val="262626"/>
          <w:lang w:val="es-ES"/>
        </w:rPr>
        <w:t>nemia que se tienen en el país son menores al 20 % de la población total, se le considera como</w:t>
      </w:r>
      <w:r w:rsidR="00945D3E" w:rsidRPr="009F5B57">
        <w:rPr>
          <w:rFonts w:ascii="Times New Roman" w:hAnsi="Times New Roman" w:cs="Times New Roman"/>
          <w:color w:val="262626"/>
          <w:lang w:val="es-ES"/>
        </w:rPr>
        <w:t xml:space="preserve"> </w:t>
      </w:r>
      <w:r w:rsidR="006C6041" w:rsidRPr="009F5B57">
        <w:rPr>
          <w:rFonts w:ascii="Times New Roman" w:hAnsi="Times New Roman" w:cs="Times New Roman"/>
          <w:color w:val="262626"/>
          <w:lang w:val="es-ES"/>
        </w:rPr>
        <w:t xml:space="preserve">un problema de salud pública pequeño, </w:t>
      </w:r>
      <w:r w:rsidR="002B1591" w:rsidRPr="009F5B57">
        <w:rPr>
          <w:rFonts w:ascii="Times New Roman" w:hAnsi="Times New Roman" w:cs="Times New Roman"/>
          <w:color w:val="262626"/>
          <w:lang w:val="es-ES"/>
        </w:rPr>
        <w:t xml:space="preserve">sin embargo, reviste importancia porque </w:t>
      </w:r>
      <w:r w:rsidR="006C6041" w:rsidRPr="009F5B57">
        <w:rPr>
          <w:rFonts w:ascii="Times New Roman" w:hAnsi="Times New Roman" w:cs="Times New Roman"/>
          <w:color w:val="262626"/>
          <w:lang w:val="es-ES"/>
        </w:rPr>
        <w:t xml:space="preserve">el sector rural </w:t>
      </w:r>
      <w:r w:rsidR="00070A4C" w:rsidRPr="009F5B57">
        <w:rPr>
          <w:rFonts w:ascii="Times New Roman" w:hAnsi="Times New Roman" w:cs="Times New Roman"/>
          <w:color w:val="262626"/>
          <w:lang w:val="es-ES"/>
        </w:rPr>
        <w:t xml:space="preserve">presenta </w:t>
      </w:r>
      <w:r w:rsidR="006C6041" w:rsidRPr="009F5B57">
        <w:rPr>
          <w:rFonts w:ascii="Times New Roman" w:hAnsi="Times New Roman" w:cs="Times New Roman"/>
          <w:color w:val="262626"/>
          <w:lang w:val="es-ES"/>
        </w:rPr>
        <w:t>una prevalencia may</w:t>
      </w:r>
      <w:r w:rsidR="002B1591" w:rsidRPr="009F5B57">
        <w:rPr>
          <w:rFonts w:ascii="Times New Roman" w:hAnsi="Times New Roman" w:cs="Times New Roman"/>
          <w:color w:val="262626"/>
          <w:lang w:val="es-ES"/>
        </w:rPr>
        <w:t xml:space="preserve">or en la deficiencia de hierro como se </w:t>
      </w:r>
      <w:r w:rsidR="00070A4C" w:rsidRPr="009F5B57">
        <w:rPr>
          <w:rFonts w:ascii="Times New Roman" w:hAnsi="Times New Roman" w:cs="Times New Roman"/>
          <w:color w:val="262626"/>
          <w:lang w:val="es-ES"/>
        </w:rPr>
        <w:t>observa</w:t>
      </w:r>
      <w:r w:rsidR="002B1591" w:rsidRPr="009F5B57">
        <w:rPr>
          <w:rFonts w:ascii="Times New Roman" w:hAnsi="Times New Roman" w:cs="Times New Roman"/>
          <w:color w:val="262626"/>
          <w:lang w:val="es-ES"/>
        </w:rPr>
        <w:t xml:space="preserve"> </w:t>
      </w:r>
      <w:r w:rsidR="006C6041" w:rsidRPr="009F5B57">
        <w:rPr>
          <w:rFonts w:ascii="Times New Roman" w:hAnsi="Times New Roman" w:cs="Times New Roman"/>
          <w:color w:val="262626"/>
          <w:lang w:val="es-ES"/>
        </w:rPr>
        <w:t xml:space="preserve">en la siguiente gráfica </w:t>
      </w:r>
      <w:r w:rsidR="002B1591" w:rsidRPr="009F5B57">
        <w:rPr>
          <w:rFonts w:ascii="Times New Roman" w:hAnsi="Times New Roman" w:cs="Times New Roman"/>
          <w:color w:val="262626"/>
          <w:lang w:val="es-ES"/>
        </w:rPr>
        <w:t xml:space="preserve">donde se </w:t>
      </w:r>
      <w:r w:rsidR="00070A4C" w:rsidRPr="009F5B57">
        <w:rPr>
          <w:rFonts w:ascii="Times New Roman" w:hAnsi="Times New Roman" w:cs="Times New Roman"/>
          <w:color w:val="262626"/>
          <w:lang w:val="es-ES"/>
        </w:rPr>
        <w:t>muestra</w:t>
      </w:r>
      <w:r w:rsidR="002B1591" w:rsidRPr="009F5B57">
        <w:rPr>
          <w:rFonts w:ascii="Times New Roman" w:hAnsi="Times New Roman" w:cs="Times New Roman"/>
          <w:color w:val="262626"/>
          <w:lang w:val="es-ES"/>
        </w:rPr>
        <w:t xml:space="preserve"> </w:t>
      </w:r>
      <w:r w:rsidR="006C6041" w:rsidRPr="009F5B57">
        <w:rPr>
          <w:rFonts w:ascii="Times New Roman" w:hAnsi="Times New Roman" w:cs="Times New Roman"/>
          <w:color w:val="262626"/>
          <w:lang w:val="es-ES"/>
        </w:rPr>
        <w:t>la prevalencia de anemia en niños de 1 a 11 años de edad en México</w:t>
      </w:r>
      <w:r w:rsidR="002B1591" w:rsidRPr="009F5B57">
        <w:rPr>
          <w:rFonts w:ascii="Times New Roman" w:hAnsi="Times New Roman" w:cs="Times New Roman"/>
          <w:color w:val="262626"/>
          <w:lang w:val="es-ES"/>
        </w:rPr>
        <w:t>,</w:t>
      </w:r>
      <w:r w:rsidR="006C6041" w:rsidRPr="009F5B57">
        <w:rPr>
          <w:rFonts w:ascii="Times New Roman" w:hAnsi="Times New Roman" w:cs="Times New Roman"/>
          <w:color w:val="262626"/>
          <w:lang w:val="es-ES"/>
        </w:rPr>
        <w:t xml:space="preserve"> divididos por áreas </w:t>
      </w:r>
      <w:r w:rsidR="002B1591" w:rsidRPr="009F5B57">
        <w:rPr>
          <w:rFonts w:ascii="Times New Roman" w:hAnsi="Times New Roman" w:cs="Times New Roman"/>
          <w:color w:val="262626"/>
          <w:lang w:val="es-ES"/>
        </w:rPr>
        <w:t xml:space="preserve">urbana y rural, </w:t>
      </w:r>
      <w:r w:rsidR="00945D3E" w:rsidRPr="009F5B57">
        <w:rPr>
          <w:rFonts w:ascii="Times New Roman" w:hAnsi="Times New Roman" w:cs="Times New Roman"/>
          <w:color w:val="262626"/>
          <w:lang w:val="es-ES"/>
        </w:rPr>
        <w:t>en el año 2006</w:t>
      </w:r>
      <w:r w:rsidR="002B1591" w:rsidRPr="009F5B57">
        <w:rPr>
          <w:rFonts w:ascii="Times New Roman" w:hAnsi="Times New Roman" w:cs="Times New Roman"/>
          <w:color w:val="262626"/>
          <w:lang w:val="es-ES"/>
        </w:rPr>
        <w:t>.</w:t>
      </w:r>
      <w:r w:rsidR="00945D3E" w:rsidRPr="009F5B57">
        <w:rPr>
          <w:rFonts w:ascii="Times New Roman" w:hAnsi="Times New Roman" w:cs="Times New Roman"/>
          <w:color w:val="262626"/>
          <w:lang w:val="es-ES"/>
        </w:rPr>
        <w:t xml:space="preserve"> </w:t>
      </w:r>
    </w:p>
    <w:p w14:paraId="5A0ACB5C" w14:textId="2FF8BFC9" w:rsidR="0046565A" w:rsidRPr="009F5B57" w:rsidRDefault="0046565A" w:rsidP="009F5B57">
      <w:pPr>
        <w:spacing w:line="360" w:lineRule="auto"/>
        <w:rPr>
          <w:rFonts w:ascii="Times New Roman" w:hAnsi="Times New Roman" w:cs="Times New Roman"/>
        </w:rPr>
      </w:pPr>
    </w:p>
    <w:p w14:paraId="7CEEC69B" w14:textId="766B4ED7" w:rsidR="00945D3E" w:rsidRPr="009F5B57" w:rsidRDefault="00046388" w:rsidP="009F5B57">
      <w:pPr>
        <w:spacing w:line="360" w:lineRule="auto"/>
        <w:jc w:val="both"/>
        <w:rPr>
          <w:rFonts w:ascii="Times New Roman" w:hAnsi="Times New Roman" w:cs="Times New Roman"/>
          <w:lang w:val="es-ES"/>
        </w:rPr>
      </w:pPr>
      <w:r w:rsidRPr="009F5B57">
        <w:rPr>
          <w:rFonts w:ascii="Times New Roman" w:hAnsi="Times New Roman" w:cs="Times New Roman"/>
          <w:noProof/>
          <w:lang w:val="es-ES"/>
        </w:rPr>
        <mc:AlternateContent>
          <mc:Choice Requires="wps">
            <w:drawing>
              <wp:anchor distT="0" distB="0" distL="114300" distR="114300" simplePos="0" relativeHeight="251661312" behindDoc="0" locked="0" layoutInCell="1" allowOverlap="1" wp14:anchorId="281AD5E7" wp14:editId="5AD9793D">
                <wp:simplePos x="0" y="0"/>
                <wp:positionH relativeFrom="column">
                  <wp:posOffset>4229100</wp:posOffset>
                </wp:positionH>
                <wp:positionV relativeFrom="paragraph">
                  <wp:posOffset>241300</wp:posOffset>
                </wp:positionV>
                <wp:extent cx="45085" cy="45085"/>
                <wp:effectExtent l="50800" t="25400" r="81915" b="107315"/>
                <wp:wrapThrough wrapText="bothSides">
                  <wp:wrapPolygon edited="0">
                    <wp:start x="-24338" y="-12169"/>
                    <wp:lineTo x="-24338" y="60845"/>
                    <wp:lineTo x="48676" y="60845"/>
                    <wp:lineTo x="48676" y="-12169"/>
                    <wp:lineTo x="-24338" y="-12169"/>
                  </wp:wrapPolygon>
                </wp:wrapThrough>
                <wp:docPr id="47" name="Rectángulo 47"/>
                <wp:cNvGraphicFramePr/>
                <a:graphic xmlns:a="http://schemas.openxmlformats.org/drawingml/2006/main">
                  <a:graphicData uri="http://schemas.microsoft.com/office/word/2010/wordprocessingShape">
                    <wps:wsp>
                      <wps:cNvSpPr/>
                      <wps:spPr>
                        <a:xfrm flipV="1">
                          <a:off x="0" y="0"/>
                          <a:ext cx="45085" cy="45085"/>
                        </a:xfrm>
                        <a:prstGeom prst="rect">
                          <a:avLst/>
                        </a:prstGeom>
                        <a:solidFill>
                          <a:schemeClr val="tx2">
                            <a:lumMod val="40000"/>
                            <a:lumOff val="60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7" o:spid="_x0000_s1026" style="position:absolute;margin-left:333pt;margin-top:19pt;width:3.55pt;height:3.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" fillcolor="#8db3e2 [1311]" strokecolor="#4579b8 [3044]">
                <v:shadow on="t" opacity="22937f" mv:blur="40000f" origin=",.5" offset="0,23000emu"/>
                <w10:wrap type="through"/>
              </v:rect>
            </w:pict>
          </mc:Fallback>
        </mc:AlternateContent>
      </w:r>
      <w:r w:rsidRPr="009F5B57">
        <w:rPr>
          <w:rFonts w:ascii="Times New Roman" w:hAnsi="Times New Roman" w:cs="Times New Roman"/>
          <w:noProof/>
          <w:lang w:val="es-ES"/>
        </w:rPr>
        <mc:AlternateContent>
          <mc:Choice Requires="wps">
            <w:drawing>
              <wp:anchor distT="0" distB="0" distL="114300" distR="114300" simplePos="0" relativeHeight="251660288" behindDoc="0" locked="0" layoutInCell="1" allowOverlap="1" wp14:anchorId="22F9C6C6" wp14:editId="3B8259B1">
                <wp:simplePos x="0" y="0"/>
                <wp:positionH relativeFrom="column">
                  <wp:posOffset>4343400</wp:posOffset>
                </wp:positionH>
                <wp:positionV relativeFrom="paragraph">
                  <wp:posOffset>172085</wp:posOffset>
                </wp:positionV>
                <wp:extent cx="800100" cy="457200"/>
                <wp:effectExtent l="0" t="0" r="0" b="0"/>
                <wp:wrapSquare wrapText="bothSides"/>
                <wp:docPr id="46" name="Cuadro de texto 46"/>
                <wp:cNvGraphicFramePr/>
                <a:graphic xmlns:a="http://schemas.openxmlformats.org/drawingml/2006/main">
                  <a:graphicData uri="http://schemas.microsoft.com/office/word/2010/wordprocessingShape">
                    <wps:wsp>
                      <wps:cNvSpPr txBox="1"/>
                      <wps:spPr>
                        <a:xfrm>
                          <a:off x="0" y="0"/>
                          <a:ext cx="8001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940532" w14:textId="4BC47F5E" w:rsidR="00866528" w:rsidRPr="006019EE" w:rsidRDefault="00866528">
                            <w:pPr>
                              <w:rPr>
                                <w:sz w:val="12"/>
                                <w:szCs w:val="12"/>
                              </w:rPr>
                            </w:pPr>
                            <w:r w:rsidRPr="006019EE">
                              <w:rPr>
                                <w:sz w:val="12"/>
                                <w:szCs w:val="12"/>
                              </w:rPr>
                              <w:t>Urbana</w:t>
                            </w:r>
                          </w:p>
                          <w:p w14:paraId="4AE2C241" w14:textId="77777777" w:rsidR="00866528" w:rsidRDefault="00866528">
                            <w:pPr>
                              <w:rPr>
                                <w:sz w:val="12"/>
                                <w:szCs w:val="12"/>
                              </w:rPr>
                            </w:pPr>
                          </w:p>
                          <w:p w14:paraId="39786E6A" w14:textId="4C57128A" w:rsidR="00866528" w:rsidRPr="006019EE" w:rsidRDefault="00866528">
                            <w:pPr>
                              <w:rPr>
                                <w:sz w:val="12"/>
                                <w:szCs w:val="12"/>
                              </w:rPr>
                            </w:pPr>
                            <w:r w:rsidRPr="006019EE">
                              <w:rPr>
                                <w:sz w:val="12"/>
                                <w:szCs w:val="12"/>
                              </w:rPr>
                              <w:t>Rural</w:t>
                            </w:r>
                          </w:p>
                          <w:p w14:paraId="645A5E07" w14:textId="77777777" w:rsidR="00866528" w:rsidRPr="006019EE" w:rsidRDefault="00866528">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46" o:spid="_x0000_s1026" type="#_x0000_t202" style="position:absolute;left:0;text-align:left;margin-left:342pt;margin-top:13.55pt;width:6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" filled="f" stroked="f">
                <v:textbox>
                  <w:txbxContent>
                    <w:p w14:paraId="43940532" w14:textId="4BC47F5E" w:rsidR="00866528" w:rsidRPr="006019EE" w:rsidRDefault="00866528">
                      <w:pPr>
                        <w:rPr>
                          <w:sz w:val="12"/>
                          <w:szCs w:val="12"/>
                        </w:rPr>
                      </w:pPr>
                      <w:r w:rsidRPr="006019EE">
                        <w:rPr>
                          <w:sz w:val="12"/>
                          <w:szCs w:val="12"/>
                        </w:rPr>
                        <w:t>Urbana</w:t>
                      </w:r>
                    </w:p>
                    <w:p w14:paraId="4AE2C241" w14:textId="77777777" w:rsidR="00866528" w:rsidRDefault="00866528">
                      <w:pPr>
                        <w:rPr>
                          <w:sz w:val="12"/>
                          <w:szCs w:val="12"/>
                        </w:rPr>
                      </w:pPr>
                    </w:p>
                    <w:p w14:paraId="39786E6A" w14:textId="4C57128A" w:rsidR="00866528" w:rsidRPr="006019EE" w:rsidRDefault="00866528">
                      <w:pPr>
                        <w:rPr>
                          <w:sz w:val="12"/>
                          <w:szCs w:val="12"/>
                        </w:rPr>
                      </w:pPr>
                      <w:r w:rsidRPr="006019EE">
                        <w:rPr>
                          <w:sz w:val="12"/>
                          <w:szCs w:val="12"/>
                        </w:rPr>
                        <w:t>Rural</w:t>
                      </w:r>
                    </w:p>
                    <w:p w14:paraId="645A5E07" w14:textId="77777777" w:rsidR="00866528" w:rsidRPr="006019EE" w:rsidRDefault="00866528">
                      <w:pPr>
                        <w:rPr>
                          <w:sz w:val="12"/>
                          <w:szCs w:val="12"/>
                        </w:rPr>
                      </w:pPr>
                    </w:p>
                  </w:txbxContent>
                </v:textbox>
                <w10:wrap type="square"/>
              </v:shape>
            </w:pict>
          </mc:Fallback>
        </mc:AlternateContent>
      </w:r>
    </w:p>
    <w:p w14:paraId="134AE177" w14:textId="4B903C27" w:rsidR="005E28E2" w:rsidRDefault="00046388" w:rsidP="009F5B57">
      <w:pPr>
        <w:spacing w:line="360" w:lineRule="auto"/>
        <w:jc w:val="both"/>
        <w:rPr>
          <w:rFonts w:ascii="Times New Roman" w:hAnsi="Times New Roman" w:cs="Times New Roman"/>
          <w:lang w:val="es-ES"/>
        </w:rPr>
      </w:pPr>
      <w:r w:rsidRPr="009F5B57">
        <w:rPr>
          <w:rFonts w:ascii="Times New Roman" w:hAnsi="Times New Roman" w:cs="Times New Roman"/>
          <w:noProof/>
          <w:lang w:val="es-ES"/>
        </w:rPr>
        <mc:AlternateContent>
          <mc:Choice Requires="wps">
            <w:drawing>
              <wp:anchor distT="0" distB="0" distL="114300" distR="114300" simplePos="0" relativeHeight="251663360" behindDoc="0" locked="0" layoutInCell="1" allowOverlap="1" wp14:anchorId="09F062A2" wp14:editId="776073AA">
                <wp:simplePos x="0" y="0"/>
                <wp:positionH relativeFrom="column">
                  <wp:posOffset>4229100</wp:posOffset>
                </wp:positionH>
                <wp:positionV relativeFrom="paragraph">
                  <wp:posOffset>137795</wp:posOffset>
                </wp:positionV>
                <wp:extent cx="45085" cy="45085"/>
                <wp:effectExtent l="50800" t="25400" r="56515" b="81915"/>
                <wp:wrapThrough wrapText="bothSides">
                  <wp:wrapPolygon edited="0">
                    <wp:start x="-24338" y="-12169"/>
                    <wp:lineTo x="-24338" y="48676"/>
                    <wp:lineTo x="36507" y="48676"/>
                    <wp:lineTo x="36507" y="-12169"/>
                    <wp:lineTo x="-24338" y="-12169"/>
                  </wp:wrapPolygon>
                </wp:wrapThrough>
                <wp:docPr id="48" name="Rectángulo 48"/>
                <wp:cNvGraphicFramePr/>
                <a:graphic xmlns:a="http://schemas.openxmlformats.org/drawingml/2006/main">
                  <a:graphicData uri="http://schemas.microsoft.com/office/word/2010/wordprocessingShape">
                    <wps:wsp>
                      <wps:cNvSpPr/>
                      <wps:spPr>
                        <a:xfrm>
                          <a:off x="0" y="0"/>
                          <a:ext cx="45085" cy="45085"/>
                        </a:xfrm>
                        <a:prstGeom prst="rect">
                          <a:avLst/>
                        </a:prstGeom>
                        <a:solidFill>
                          <a:srgbClr val="D99694"/>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48" o:spid="_x0000_s1026" style="position:absolute;margin-left:333pt;margin-top:10.85pt;width:3.55pt;height:3.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" fillcolor="#d99694" stroked="f">
                <v:shadow on="t" opacity="22937f" mv:blur="40000f" origin=",.5" offset="0,23000emu"/>
                <w10:wrap type="through"/>
              </v:rect>
            </w:pict>
          </mc:Fallback>
        </mc:AlternateContent>
      </w:r>
    </w:p>
    <w:p w14:paraId="158E2A56" w14:textId="362BDB7E" w:rsidR="006019EE" w:rsidRDefault="006019EE" w:rsidP="009F5B57">
      <w:pPr>
        <w:spacing w:line="360" w:lineRule="auto"/>
        <w:jc w:val="both"/>
        <w:rPr>
          <w:rFonts w:ascii="Times New Roman" w:hAnsi="Times New Roman" w:cs="Times New Roman"/>
          <w:lang w:val="es-ES"/>
        </w:rPr>
      </w:pPr>
    </w:p>
    <w:p w14:paraId="221A012E" w14:textId="77777777" w:rsidR="00695261" w:rsidRDefault="00695261" w:rsidP="009F5B57">
      <w:pPr>
        <w:spacing w:line="360" w:lineRule="auto"/>
        <w:jc w:val="both"/>
        <w:rPr>
          <w:rFonts w:ascii="Times New Roman" w:hAnsi="Times New Roman" w:cs="Times New Roman"/>
          <w:sz w:val="12"/>
          <w:szCs w:val="12"/>
          <w:lang w:val="es-ES"/>
        </w:rPr>
      </w:pPr>
    </w:p>
    <w:p w14:paraId="5AAC00CD" w14:textId="77777777" w:rsidR="00695261" w:rsidRDefault="00695261" w:rsidP="009F5B57">
      <w:pPr>
        <w:spacing w:line="360" w:lineRule="auto"/>
        <w:jc w:val="both"/>
        <w:rPr>
          <w:rFonts w:ascii="Times New Roman" w:hAnsi="Times New Roman" w:cs="Times New Roman"/>
          <w:sz w:val="12"/>
          <w:szCs w:val="12"/>
          <w:lang w:val="es-ES"/>
        </w:rPr>
      </w:pPr>
    </w:p>
    <w:p w14:paraId="13A79011" w14:textId="77777777" w:rsidR="00695261" w:rsidRDefault="00695261" w:rsidP="009F5B57">
      <w:pPr>
        <w:spacing w:line="360" w:lineRule="auto"/>
        <w:jc w:val="both"/>
        <w:rPr>
          <w:rFonts w:ascii="Times New Roman" w:hAnsi="Times New Roman" w:cs="Times New Roman"/>
          <w:sz w:val="12"/>
          <w:szCs w:val="12"/>
          <w:lang w:val="es-ES"/>
        </w:rPr>
      </w:pPr>
    </w:p>
    <w:p w14:paraId="1E4E9C9E" w14:textId="77777777" w:rsidR="00695261" w:rsidRDefault="00695261" w:rsidP="009F5B57">
      <w:pPr>
        <w:spacing w:line="360" w:lineRule="auto"/>
        <w:jc w:val="both"/>
        <w:rPr>
          <w:rFonts w:ascii="Times New Roman" w:hAnsi="Times New Roman" w:cs="Times New Roman"/>
          <w:sz w:val="12"/>
          <w:szCs w:val="12"/>
          <w:lang w:val="es-ES"/>
        </w:rPr>
      </w:pPr>
    </w:p>
    <w:p w14:paraId="261EAFE5" w14:textId="77777777" w:rsidR="00695261" w:rsidRDefault="00695261" w:rsidP="009F5B57">
      <w:pPr>
        <w:spacing w:line="360" w:lineRule="auto"/>
        <w:jc w:val="both"/>
        <w:rPr>
          <w:rFonts w:ascii="Times New Roman" w:hAnsi="Times New Roman" w:cs="Times New Roman"/>
          <w:sz w:val="12"/>
          <w:szCs w:val="12"/>
          <w:lang w:val="es-ES"/>
        </w:rPr>
      </w:pPr>
    </w:p>
    <w:p w14:paraId="7868DE28" w14:textId="3A0405A8" w:rsidR="0046565A" w:rsidRPr="00046388" w:rsidRDefault="00554336" w:rsidP="00046388">
      <w:pPr>
        <w:spacing w:line="360" w:lineRule="auto"/>
        <w:jc w:val="both"/>
        <w:rPr>
          <w:rFonts w:ascii="Times New Roman" w:hAnsi="Times New Roman" w:cs="Times New Roman"/>
          <w:color w:val="262626"/>
          <w:sz w:val="10"/>
          <w:szCs w:val="10"/>
          <w:lang w:val="es-ES"/>
        </w:rPr>
      </w:pPr>
      <w:r w:rsidRPr="00046388">
        <w:rPr>
          <w:rFonts w:ascii="Times New Roman" w:hAnsi="Times New Roman" w:cs="Times New Roman"/>
          <w:sz w:val="10"/>
          <w:szCs w:val="10"/>
          <w:lang w:val="es-ES"/>
        </w:rPr>
        <w:t xml:space="preserve">Gráfico 1. </w:t>
      </w:r>
      <w:r w:rsidR="006C6041" w:rsidRPr="00046388">
        <w:rPr>
          <w:rFonts w:ascii="Times New Roman" w:hAnsi="Times New Roman" w:cs="Times New Roman"/>
          <w:sz w:val="10"/>
          <w:szCs w:val="10"/>
          <w:lang w:val="es-ES"/>
        </w:rPr>
        <w:t>Tomado de Martínez-Salgado, H., Casanueva, E., Rivera-</w:t>
      </w:r>
      <w:proofErr w:type="spellStart"/>
      <w:r w:rsidR="006C6041" w:rsidRPr="00046388">
        <w:rPr>
          <w:rFonts w:ascii="Times New Roman" w:hAnsi="Times New Roman" w:cs="Times New Roman"/>
          <w:sz w:val="10"/>
          <w:szCs w:val="10"/>
          <w:lang w:val="es-ES"/>
        </w:rPr>
        <w:t>Domarco</w:t>
      </w:r>
      <w:proofErr w:type="spellEnd"/>
      <w:r w:rsidR="006C6041" w:rsidRPr="00046388">
        <w:rPr>
          <w:rFonts w:ascii="Times New Roman" w:hAnsi="Times New Roman" w:cs="Times New Roman"/>
          <w:sz w:val="10"/>
          <w:szCs w:val="10"/>
          <w:lang w:val="es-ES"/>
        </w:rPr>
        <w:t xml:space="preserve">, J., E. Viteri, F., &amp; </w:t>
      </w:r>
      <w:proofErr w:type="spellStart"/>
      <w:r w:rsidR="006C6041" w:rsidRPr="00046388">
        <w:rPr>
          <w:rFonts w:ascii="Times New Roman" w:hAnsi="Times New Roman" w:cs="Times New Roman"/>
          <w:sz w:val="10"/>
          <w:szCs w:val="10"/>
          <w:lang w:val="es-ES"/>
        </w:rPr>
        <w:t>Boruges</w:t>
      </w:r>
      <w:proofErr w:type="spellEnd"/>
      <w:r w:rsidR="006C6041" w:rsidRPr="00046388">
        <w:rPr>
          <w:rFonts w:ascii="Times New Roman" w:hAnsi="Times New Roman" w:cs="Times New Roman"/>
          <w:sz w:val="10"/>
          <w:szCs w:val="10"/>
          <w:lang w:val="es-ES"/>
        </w:rPr>
        <w:t xml:space="preserve">-Rodríguez, H. (2008). La deficiencia de hierro y la anemia en </w:t>
      </w:r>
      <w:proofErr w:type="spellStart"/>
      <w:r w:rsidR="006C6041" w:rsidRPr="00046388">
        <w:rPr>
          <w:rFonts w:ascii="Times New Roman" w:hAnsi="Times New Roman" w:cs="Times New Roman"/>
          <w:sz w:val="10"/>
          <w:szCs w:val="10"/>
          <w:lang w:val="es-ES"/>
        </w:rPr>
        <w:t>niños</w:t>
      </w:r>
      <w:proofErr w:type="spellEnd"/>
      <w:r w:rsidR="006C6041" w:rsidRPr="00046388">
        <w:rPr>
          <w:rFonts w:ascii="Times New Roman" w:hAnsi="Times New Roman" w:cs="Times New Roman"/>
          <w:sz w:val="10"/>
          <w:szCs w:val="10"/>
          <w:lang w:val="es-ES"/>
        </w:rPr>
        <w:t xml:space="preserve"> mexicanos. Acciones para prevenirlas y corregirlas</w:t>
      </w:r>
    </w:p>
    <w:p w14:paraId="0DCEC086" w14:textId="324AEDC2" w:rsidR="0046565A" w:rsidRPr="00695261" w:rsidRDefault="0046565A" w:rsidP="00695261">
      <w:pPr>
        <w:spacing w:line="360" w:lineRule="auto"/>
        <w:rPr>
          <w:rFonts w:ascii="Times New Roman" w:hAnsi="Times New Roman" w:cs="Times New Roman"/>
          <w:b/>
        </w:rPr>
      </w:pPr>
      <w:r w:rsidRPr="009F5B57">
        <w:rPr>
          <w:rFonts w:ascii="Times New Roman" w:hAnsi="Times New Roman" w:cs="Times New Roman"/>
          <w:b/>
        </w:rPr>
        <w:t>Cap</w:t>
      </w:r>
      <w:r w:rsidR="0068644F" w:rsidRPr="009F5B57">
        <w:rPr>
          <w:rFonts w:ascii="Times New Roman" w:hAnsi="Times New Roman" w:cs="Times New Roman"/>
          <w:b/>
        </w:rPr>
        <w:t>ítulo</w:t>
      </w:r>
      <w:r w:rsidRPr="009F5B57">
        <w:rPr>
          <w:rFonts w:ascii="Times New Roman" w:hAnsi="Times New Roman" w:cs="Times New Roman"/>
          <w:b/>
        </w:rPr>
        <w:t xml:space="preserve"> 3 Marco teórico</w:t>
      </w:r>
    </w:p>
    <w:p w14:paraId="4FBC92CB" w14:textId="77777777" w:rsidR="0046565A" w:rsidRPr="00695261" w:rsidRDefault="0046565A" w:rsidP="009F5B57">
      <w:pPr>
        <w:spacing w:line="360" w:lineRule="auto"/>
        <w:ind w:left="426"/>
        <w:rPr>
          <w:rFonts w:ascii="Times New Roman" w:hAnsi="Times New Roman" w:cs="Times New Roman"/>
          <w:i/>
        </w:rPr>
      </w:pPr>
      <w:r w:rsidRPr="00695261">
        <w:rPr>
          <w:rFonts w:ascii="Times New Roman" w:hAnsi="Times New Roman" w:cs="Times New Roman"/>
          <w:i/>
        </w:rPr>
        <w:t xml:space="preserve">  3.1 Formulación de hipótesis</w:t>
      </w:r>
    </w:p>
    <w:p w14:paraId="105865D8" w14:textId="77777777" w:rsidR="0046565A" w:rsidRPr="009F5B57" w:rsidRDefault="0046565A" w:rsidP="00695261">
      <w:pPr>
        <w:spacing w:line="360" w:lineRule="auto"/>
        <w:rPr>
          <w:rFonts w:ascii="Times New Roman" w:hAnsi="Times New Roman" w:cs="Times New Roman"/>
        </w:rPr>
      </w:pPr>
    </w:p>
    <w:p w14:paraId="2A47B8C2" w14:textId="734F6399" w:rsidR="0046565A" w:rsidRPr="009F5B57" w:rsidRDefault="0046565A" w:rsidP="009F5B57">
      <w:pPr>
        <w:spacing w:line="360" w:lineRule="auto"/>
        <w:ind w:firstLine="709"/>
        <w:jc w:val="both"/>
        <w:rPr>
          <w:rFonts w:ascii="Times New Roman" w:hAnsi="Times New Roman" w:cs="Times New Roman"/>
          <w:lang w:val="es-ES"/>
        </w:rPr>
      </w:pPr>
      <w:r w:rsidRPr="009F5B57">
        <w:rPr>
          <w:rFonts w:ascii="Times New Roman" w:hAnsi="Times New Roman" w:cs="Times New Roman"/>
          <w:color w:val="262626"/>
          <w:lang w:val="es-ES"/>
        </w:rPr>
        <w:t xml:space="preserve">Como ya se mencionó, existen varios estudios en donde se asocia a la anemia con  una menor </w:t>
      </w:r>
      <w:r w:rsidRPr="009F5B57">
        <w:rPr>
          <w:rFonts w:ascii="Times New Roman" w:hAnsi="Times New Roman" w:cs="Times New Roman"/>
          <w:lang w:val="es-ES"/>
        </w:rPr>
        <w:t xml:space="preserve">capacidad de aprendizaje y que al momento de ser tratada, se obtienen mejores resultados en cuanto a </w:t>
      </w:r>
      <w:r w:rsidR="00024246" w:rsidRPr="009F5B57">
        <w:rPr>
          <w:rFonts w:ascii="Times New Roman" w:hAnsi="Times New Roman" w:cs="Times New Roman"/>
          <w:lang w:val="es-ES"/>
        </w:rPr>
        <w:t>desempeño, es por esta razón</w:t>
      </w:r>
      <w:r w:rsidR="006959F8" w:rsidRPr="009F5B57">
        <w:rPr>
          <w:rFonts w:ascii="Times New Roman" w:hAnsi="Times New Roman" w:cs="Times New Roman"/>
          <w:lang w:val="es-ES"/>
        </w:rPr>
        <w:t xml:space="preserve"> que</w:t>
      </w:r>
      <w:r w:rsidRPr="009F5B57">
        <w:rPr>
          <w:rFonts w:ascii="Times New Roman" w:hAnsi="Times New Roman" w:cs="Times New Roman"/>
          <w:lang w:val="es-ES"/>
        </w:rPr>
        <w:t xml:space="preserve"> se decidió realizar la presente investigación en la cual se trata </w:t>
      </w:r>
      <w:r w:rsidR="00024246" w:rsidRPr="009F5B57">
        <w:rPr>
          <w:rFonts w:ascii="Times New Roman" w:hAnsi="Times New Roman" w:cs="Times New Roman"/>
          <w:lang w:val="es-ES"/>
        </w:rPr>
        <w:t>de</w:t>
      </w:r>
      <w:r w:rsidRPr="009F5B57">
        <w:rPr>
          <w:rFonts w:ascii="Times New Roman" w:hAnsi="Times New Roman" w:cs="Times New Roman"/>
          <w:lang w:val="es-ES"/>
        </w:rPr>
        <w:t xml:space="preserve"> vincular a la anemia con</w:t>
      </w:r>
      <w:r w:rsidR="00024246" w:rsidRPr="009F5B57">
        <w:rPr>
          <w:rFonts w:ascii="Times New Roman" w:hAnsi="Times New Roman" w:cs="Times New Roman"/>
          <w:lang w:val="es-ES"/>
        </w:rPr>
        <w:t xml:space="preserve"> la deserción y rezago escolar</w:t>
      </w:r>
      <w:r w:rsidR="006959F8" w:rsidRPr="009F5B57">
        <w:rPr>
          <w:rFonts w:ascii="Times New Roman" w:hAnsi="Times New Roman" w:cs="Times New Roman"/>
          <w:lang w:val="es-ES"/>
        </w:rPr>
        <w:t xml:space="preserve">. </w:t>
      </w:r>
      <w:r w:rsidR="00024246" w:rsidRPr="009F5B57">
        <w:rPr>
          <w:rFonts w:ascii="Times New Roman" w:hAnsi="Times New Roman" w:cs="Times New Roman"/>
          <w:lang w:val="es-ES"/>
        </w:rPr>
        <w:t xml:space="preserve">Por lo </w:t>
      </w:r>
      <w:r w:rsidR="006959F8" w:rsidRPr="009F5B57">
        <w:rPr>
          <w:rFonts w:ascii="Times New Roman" w:hAnsi="Times New Roman" w:cs="Times New Roman"/>
          <w:lang w:val="es-ES"/>
        </w:rPr>
        <w:t>cual, nuestra</w:t>
      </w:r>
      <w:r w:rsidR="00024246" w:rsidRPr="009F5B57">
        <w:rPr>
          <w:rFonts w:ascii="Times New Roman" w:hAnsi="Times New Roman" w:cs="Times New Roman"/>
          <w:lang w:val="es-ES"/>
        </w:rPr>
        <w:t xml:space="preserve"> </w:t>
      </w:r>
      <w:r w:rsidRPr="009F5B57">
        <w:rPr>
          <w:rFonts w:ascii="Times New Roman" w:hAnsi="Times New Roman" w:cs="Times New Roman"/>
          <w:lang w:val="es-ES"/>
        </w:rPr>
        <w:t>hipótesis es que la anemia tiene un efecto negativo en la asistencia a la escuela y en el rezago</w:t>
      </w:r>
      <w:r w:rsidR="006959F8" w:rsidRPr="009F5B57">
        <w:rPr>
          <w:rFonts w:ascii="Times New Roman" w:hAnsi="Times New Roman" w:cs="Times New Roman"/>
          <w:lang w:val="es-ES"/>
        </w:rPr>
        <w:t xml:space="preserve"> escolar </w:t>
      </w:r>
      <w:r w:rsidRPr="009F5B57">
        <w:rPr>
          <w:rFonts w:ascii="Times New Roman" w:hAnsi="Times New Roman" w:cs="Times New Roman"/>
          <w:lang w:val="es-ES"/>
        </w:rPr>
        <w:t xml:space="preserve">en México. </w:t>
      </w:r>
    </w:p>
    <w:p w14:paraId="1C87A12D" w14:textId="77777777" w:rsidR="0046565A" w:rsidRPr="009F5B57" w:rsidRDefault="0046565A" w:rsidP="009F5B57">
      <w:pPr>
        <w:spacing w:line="360" w:lineRule="auto"/>
        <w:ind w:firstLine="709"/>
        <w:jc w:val="both"/>
        <w:rPr>
          <w:rFonts w:ascii="Times New Roman" w:hAnsi="Times New Roman" w:cs="Times New Roman"/>
          <w:lang w:val="es-ES"/>
        </w:rPr>
      </w:pPr>
    </w:p>
    <w:p w14:paraId="50F1F17E" w14:textId="0179CDA2" w:rsidR="00024246" w:rsidRPr="009F5B57" w:rsidRDefault="0046565A" w:rsidP="009F5B57">
      <w:pPr>
        <w:spacing w:line="360" w:lineRule="auto"/>
        <w:ind w:firstLine="709"/>
        <w:jc w:val="both"/>
        <w:rPr>
          <w:rFonts w:ascii="Times New Roman" w:hAnsi="Times New Roman" w:cs="Times New Roman"/>
          <w:lang w:val="es-ES"/>
        </w:rPr>
      </w:pPr>
      <w:r w:rsidRPr="009F5B57">
        <w:rPr>
          <w:rFonts w:ascii="Times New Roman" w:hAnsi="Times New Roman" w:cs="Times New Roman"/>
          <w:lang w:val="es-ES"/>
        </w:rPr>
        <w:t>Para dicho estudio, se formó una base de datos con la información contenida e</w:t>
      </w:r>
      <w:r w:rsidR="00E607B6" w:rsidRPr="009F5B57">
        <w:rPr>
          <w:rFonts w:ascii="Times New Roman" w:hAnsi="Times New Roman" w:cs="Times New Roman"/>
          <w:lang w:val="es-ES"/>
        </w:rPr>
        <w:t xml:space="preserve">n las encuestas realizadas por ENSANUT  en el año 2012. </w:t>
      </w:r>
      <w:r w:rsidRPr="009F5B57">
        <w:rPr>
          <w:rFonts w:ascii="Times New Roman" w:hAnsi="Times New Roman" w:cs="Times New Roman"/>
          <w:lang w:val="es-ES"/>
        </w:rPr>
        <w:t xml:space="preserve">La encuesta contiene datos de las personas de todas las edades, sin embargo, nos enfocaremos a los </w:t>
      </w:r>
      <w:r w:rsidR="00503CF9" w:rsidRPr="009F5B57">
        <w:rPr>
          <w:rFonts w:ascii="Times New Roman" w:hAnsi="Times New Roman" w:cs="Times New Roman"/>
          <w:lang w:val="es-ES"/>
        </w:rPr>
        <w:t xml:space="preserve">adolescentes y jóvenes </w:t>
      </w:r>
      <w:r w:rsidR="00AC7B50" w:rsidRPr="009F5B57">
        <w:rPr>
          <w:rFonts w:ascii="Times New Roman" w:hAnsi="Times New Roman" w:cs="Times New Roman"/>
          <w:lang w:val="es-ES"/>
        </w:rPr>
        <w:t>de</w:t>
      </w:r>
      <w:r w:rsidRPr="009F5B57">
        <w:rPr>
          <w:rFonts w:ascii="Times New Roman" w:hAnsi="Times New Roman" w:cs="Times New Roman"/>
          <w:lang w:val="es-ES"/>
        </w:rPr>
        <w:t xml:space="preserve"> 12 a 19 años</w:t>
      </w:r>
      <w:r w:rsidR="006E4E50" w:rsidRPr="009F5B57">
        <w:rPr>
          <w:rFonts w:ascii="Times New Roman" w:hAnsi="Times New Roman" w:cs="Times New Roman"/>
          <w:lang w:val="es-ES"/>
        </w:rPr>
        <w:t xml:space="preserve">, </w:t>
      </w:r>
      <w:r w:rsidRPr="009F5B57">
        <w:rPr>
          <w:rFonts w:ascii="Times New Roman" w:hAnsi="Times New Roman" w:cs="Times New Roman"/>
          <w:lang w:val="es-ES"/>
        </w:rPr>
        <w:t>ya que en lo que re</w:t>
      </w:r>
      <w:r w:rsidR="00AC7B50" w:rsidRPr="009F5B57">
        <w:rPr>
          <w:rFonts w:ascii="Times New Roman" w:hAnsi="Times New Roman" w:cs="Times New Roman"/>
          <w:lang w:val="es-ES"/>
        </w:rPr>
        <w:t xml:space="preserve">specta a los niños de edad de 5 a </w:t>
      </w:r>
      <w:r w:rsidRPr="009F5B57">
        <w:rPr>
          <w:rFonts w:ascii="Times New Roman" w:hAnsi="Times New Roman" w:cs="Times New Roman"/>
          <w:lang w:val="es-ES"/>
        </w:rPr>
        <w:t>11 años, la asistencia a la escuela es muy alta</w:t>
      </w:r>
      <w:r w:rsidR="00AC7B50" w:rsidRPr="009F5B57">
        <w:rPr>
          <w:rFonts w:ascii="Times New Roman" w:hAnsi="Times New Roman" w:cs="Times New Roman"/>
          <w:lang w:val="es-ES"/>
        </w:rPr>
        <w:t xml:space="preserve"> (como se puede observar en la siguiente tabla)</w:t>
      </w:r>
      <w:r w:rsidRPr="009F5B57">
        <w:rPr>
          <w:rFonts w:ascii="Times New Roman" w:hAnsi="Times New Roman" w:cs="Times New Roman"/>
          <w:lang w:val="es-ES"/>
        </w:rPr>
        <w:t>,</w:t>
      </w:r>
      <w:r w:rsidR="00AC7B50" w:rsidRPr="009F5B57">
        <w:rPr>
          <w:rFonts w:ascii="Times New Roman" w:hAnsi="Times New Roman" w:cs="Times New Roman"/>
          <w:lang w:val="es-ES"/>
        </w:rPr>
        <w:t xml:space="preserve"> y p</w:t>
      </w:r>
      <w:r w:rsidR="00A02F95" w:rsidRPr="009F5B57">
        <w:rPr>
          <w:rFonts w:ascii="Times New Roman" w:hAnsi="Times New Roman" w:cs="Times New Roman"/>
          <w:lang w:val="es-ES"/>
        </w:rPr>
        <w:t>o</w:t>
      </w:r>
      <w:r w:rsidR="00AC7B50" w:rsidRPr="009F5B57">
        <w:rPr>
          <w:rFonts w:ascii="Times New Roman" w:hAnsi="Times New Roman" w:cs="Times New Roman"/>
          <w:lang w:val="es-ES"/>
        </w:rPr>
        <w:t>r</w:t>
      </w:r>
      <w:r w:rsidR="00A02F95" w:rsidRPr="009F5B57">
        <w:rPr>
          <w:rFonts w:ascii="Times New Roman" w:hAnsi="Times New Roman" w:cs="Times New Roman"/>
          <w:lang w:val="es-ES"/>
        </w:rPr>
        <w:t xml:space="preserve"> es</w:t>
      </w:r>
      <w:r w:rsidR="00AC7B50" w:rsidRPr="009F5B57">
        <w:rPr>
          <w:rFonts w:ascii="Times New Roman" w:hAnsi="Times New Roman" w:cs="Times New Roman"/>
          <w:lang w:val="es-ES"/>
        </w:rPr>
        <w:t>ta</w:t>
      </w:r>
      <w:r w:rsidR="00A02F95" w:rsidRPr="009F5B57">
        <w:rPr>
          <w:rFonts w:ascii="Times New Roman" w:hAnsi="Times New Roman" w:cs="Times New Roman"/>
          <w:lang w:val="es-ES"/>
        </w:rPr>
        <w:t xml:space="preserve"> </w:t>
      </w:r>
      <w:r w:rsidR="00AC7B50" w:rsidRPr="009F5B57">
        <w:rPr>
          <w:rFonts w:ascii="Times New Roman" w:hAnsi="Times New Roman" w:cs="Times New Roman"/>
          <w:lang w:val="es-ES"/>
        </w:rPr>
        <w:t xml:space="preserve">razón no es </w:t>
      </w:r>
      <w:r w:rsidR="00A02F95" w:rsidRPr="009F5B57">
        <w:rPr>
          <w:rFonts w:ascii="Times New Roman" w:hAnsi="Times New Roman" w:cs="Times New Roman"/>
          <w:lang w:val="es-ES"/>
        </w:rPr>
        <w:t>posible identificar si la anemia es un factor determinante. La deserción y el rezago se empiezan a notar a partir de los 12 años de edad.</w:t>
      </w:r>
      <w:r w:rsidRPr="009F5B57">
        <w:rPr>
          <w:rFonts w:ascii="Times New Roman" w:hAnsi="Times New Roman" w:cs="Times New Roman"/>
          <w:lang w:val="es-ES"/>
        </w:rPr>
        <w:t xml:space="preserve"> </w:t>
      </w:r>
    </w:p>
    <w:p w14:paraId="068DC257" w14:textId="77777777" w:rsidR="00A312CF" w:rsidRPr="009F5B57" w:rsidRDefault="00A312CF" w:rsidP="009F5B57">
      <w:pPr>
        <w:spacing w:line="360" w:lineRule="auto"/>
        <w:jc w:val="both"/>
        <w:rPr>
          <w:rFonts w:ascii="Times New Roman" w:hAnsi="Times New Roman" w:cs="Times New Roman"/>
          <w:color w:val="262626"/>
          <w:lang w:val="es-ES"/>
        </w:rPr>
      </w:pPr>
    </w:p>
    <w:p w14:paraId="39400FF4" w14:textId="69B0DC6E" w:rsidR="0068644F" w:rsidRPr="009F5B57" w:rsidRDefault="00024246" w:rsidP="009F5B57">
      <w:pPr>
        <w:spacing w:line="360" w:lineRule="auto"/>
        <w:ind w:left="1134"/>
        <w:rPr>
          <w:rFonts w:ascii="Times New Roman" w:hAnsi="Times New Roman" w:cs="Times New Roman"/>
        </w:rPr>
      </w:pPr>
      <w:r w:rsidRPr="009F5B57">
        <w:rPr>
          <w:rFonts w:ascii="Times New Roman" w:hAnsi="Times New Roman" w:cs="Times New Roman"/>
          <w:noProof/>
          <w:lang w:val="es-ES"/>
        </w:rPr>
        <w:drawing>
          <wp:inline distT="0" distB="0" distL="0" distR="0" wp14:anchorId="638EC7AB" wp14:editId="0725DF56">
            <wp:extent cx="3620372" cy="1526409"/>
            <wp:effectExtent l="0" t="0" r="37465" b="2349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F393EEE" w14:textId="124585CB" w:rsidR="00AC7B50" w:rsidRPr="00695261" w:rsidRDefault="00695261" w:rsidP="009F5B57">
      <w:pPr>
        <w:spacing w:line="360" w:lineRule="auto"/>
        <w:rPr>
          <w:rFonts w:ascii="Times New Roman" w:hAnsi="Times New Roman" w:cs="Times New Roman"/>
          <w:sz w:val="12"/>
          <w:szCs w:val="12"/>
          <w:lang w:val="es-ES"/>
        </w:rPr>
      </w:pPr>
      <w:r>
        <w:rPr>
          <w:rFonts w:ascii="Times New Roman" w:hAnsi="Times New Roman" w:cs="Times New Roman"/>
          <w:sz w:val="12"/>
          <w:szCs w:val="12"/>
          <w:lang w:val="es-ES"/>
        </w:rPr>
        <w:t xml:space="preserve">                                     </w:t>
      </w:r>
      <w:r w:rsidR="00554336" w:rsidRPr="00695261">
        <w:rPr>
          <w:rFonts w:ascii="Times New Roman" w:hAnsi="Times New Roman" w:cs="Times New Roman"/>
          <w:sz w:val="12"/>
          <w:szCs w:val="12"/>
          <w:lang w:val="es-ES"/>
        </w:rPr>
        <w:t xml:space="preserve">Gráfico 2. </w:t>
      </w:r>
      <w:r w:rsidR="0068644F" w:rsidRPr="00695261">
        <w:rPr>
          <w:rFonts w:ascii="Times New Roman" w:hAnsi="Times New Roman" w:cs="Times New Roman"/>
          <w:sz w:val="12"/>
          <w:szCs w:val="12"/>
          <w:lang w:val="es-ES"/>
        </w:rPr>
        <w:t>Creación propia</w:t>
      </w:r>
      <w:r w:rsidR="00AC7B50" w:rsidRPr="00695261">
        <w:rPr>
          <w:rFonts w:ascii="Times New Roman" w:hAnsi="Times New Roman" w:cs="Times New Roman"/>
          <w:sz w:val="12"/>
          <w:szCs w:val="12"/>
          <w:lang w:val="es-ES"/>
        </w:rPr>
        <w:t xml:space="preserve"> co</w:t>
      </w:r>
      <w:r w:rsidR="00A02F95" w:rsidRPr="00695261">
        <w:rPr>
          <w:rFonts w:ascii="Times New Roman" w:hAnsi="Times New Roman" w:cs="Times New Roman"/>
          <w:sz w:val="12"/>
          <w:szCs w:val="12"/>
          <w:lang w:val="es-ES"/>
        </w:rPr>
        <w:t>n base a datos de la encuesta ENSANUT, 2012.</w:t>
      </w:r>
    </w:p>
    <w:p w14:paraId="102A8667" w14:textId="77777777" w:rsidR="00695261" w:rsidRDefault="00695261" w:rsidP="009F5B57">
      <w:pPr>
        <w:spacing w:line="360" w:lineRule="auto"/>
        <w:rPr>
          <w:rFonts w:ascii="Times New Roman" w:hAnsi="Times New Roman" w:cs="Times New Roman"/>
        </w:rPr>
      </w:pPr>
    </w:p>
    <w:p w14:paraId="2947D431" w14:textId="77777777" w:rsidR="00947664" w:rsidRDefault="00947664" w:rsidP="00046388">
      <w:pPr>
        <w:spacing w:line="360" w:lineRule="auto"/>
        <w:rPr>
          <w:rFonts w:ascii="Times New Roman" w:hAnsi="Times New Roman" w:cs="Times New Roman"/>
        </w:rPr>
      </w:pPr>
    </w:p>
    <w:p w14:paraId="43A411E6" w14:textId="77777777" w:rsidR="00947664" w:rsidRDefault="00947664" w:rsidP="00046388">
      <w:pPr>
        <w:spacing w:line="360" w:lineRule="auto"/>
        <w:rPr>
          <w:rFonts w:ascii="Times New Roman" w:hAnsi="Times New Roman" w:cs="Times New Roman"/>
        </w:rPr>
      </w:pPr>
    </w:p>
    <w:p w14:paraId="084F83F1" w14:textId="77777777" w:rsidR="00947664" w:rsidRDefault="00947664" w:rsidP="00046388">
      <w:pPr>
        <w:spacing w:line="360" w:lineRule="auto"/>
        <w:rPr>
          <w:rFonts w:ascii="Times New Roman" w:hAnsi="Times New Roman" w:cs="Times New Roman"/>
        </w:rPr>
      </w:pPr>
    </w:p>
    <w:p w14:paraId="25DD992F" w14:textId="4759E369" w:rsidR="0046565A" w:rsidRPr="00046388" w:rsidRDefault="0046565A" w:rsidP="00046388">
      <w:pPr>
        <w:spacing w:line="360" w:lineRule="auto"/>
        <w:rPr>
          <w:rFonts w:ascii="Times New Roman" w:hAnsi="Times New Roman" w:cs="Times New Roman"/>
          <w:lang w:val="es-ES"/>
        </w:rPr>
      </w:pPr>
      <w:r w:rsidRPr="009F5B57">
        <w:rPr>
          <w:rFonts w:ascii="Times New Roman" w:hAnsi="Times New Roman" w:cs="Times New Roman"/>
        </w:rPr>
        <w:lastRenderedPageBreak/>
        <w:t>3.2 Marco teórico</w:t>
      </w:r>
    </w:p>
    <w:p w14:paraId="414A69BB" w14:textId="7100D56D" w:rsidR="0046565A" w:rsidRPr="009F5B57" w:rsidRDefault="0046565A" w:rsidP="009F5B57">
      <w:pPr>
        <w:spacing w:before="100" w:beforeAutospacing="1" w:after="100" w:afterAutospacing="1" w:line="360" w:lineRule="auto"/>
        <w:ind w:firstLine="709"/>
        <w:jc w:val="both"/>
        <w:rPr>
          <w:rFonts w:ascii="Times New Roman" w:hAnsi="Times New Roman" w:cs="Times New Roman"/>
        </w:rPr>
      </w:pPr>
      <w:r w:rsidRPr="009F5B57">
        <w:rPr>
          <w:rFonts w:ascii="Times New Roman" w:hAnsi="Times New Roman" w:cs="Times New Roman"/>
        </w:rPr>
        <w:t>“En México, la cobertura educativa entre la población de 5 a 14 años es universal, como en</w:t>
      </w:r>
      <w:r w:rsidR="006959F8" w:rsidRPr="009F5B57">
        <w:rPr>
          <w:rFonts w:ascii="Times New Roman" w:hAnsi="Times New Roman" w:cs="Times New Roman"/>
        </w:rPr>
        <w:t xml:space="preserve"> casi</w:t>
      </w:r>
      <w:r w:rsidRPr="009F5B57">
        <w:rPr>
          <w:rFonts w:ascii="Times New Roman" w:hAnsi="Times New Roman" w:cs="Times New Roman"/>
        </w:rPr>
        <w:t xml:space="preserve"> todos los países de la OCDE. No obstante, el país tiene una de las menores proporciones de jóvenes de 15 a 19 años matriculados en educación (53</w:t>
      </w:r>
      <w:r w:rsidR="006959F8" w:rsidRPr="009F5B57">
        <w:rPr>
          <w:rFonts w:ascii="Times New Roman" w:hAnsi="Times New Roman" w:cs="Times New Roman"/>
        </w:rPr>
        <w:t xml:space="preserve"> </w:t>
      </w:r>
      <w:r w:rsidRPr="009F5B57">
        <w:rPr>
          <w:rFonts w:ascii="Times New Roman" w:hAnsi="Times New Roman" w:cs="Times New Roman"/>
        </w:rPr>
        <w:t>%), a pesar de tener la población más grande de este rango de edad de su historia.</w:t>
      </w:r>
      <w:r w:rsidR="006959F8" w:rsidRPr="009F5B57">
        <w:rPr>
          <w:rFonts w:ascii="Times New Roman" w:hAnsi="Times New Roman" w:cs="Times New Roman"/>
        </w:rPr>
        <w:t xml:space="preserve"> </w:t>
      </w:r>
      <w:r w:rsidRPr="009F5B57">
        <w:rPr>
          <w:rFonts w:ascii="Times New Roman" w:hAnsi="Times New Roman" w:cs="Times New Roman"/>
        </w:rPr>
        <w:t>Sólo Colombia (43</w:t>
      </w:r>
      <w:r w:rsidR="006959F8" w:rsidRPr="009F5B57">
        <w:rPr>
          <w:rFonts w:ascii="Times New Roman" w:hAnsi="Times New Roman" w:cs="Times New Roman"/>
        </w:rPr>
        <w:t xml:space="preserve"> </w:t>
      </w:r>
      <w:r w:rsidRPr="009F5B57">
        <w:rPr>
          <w:rFonts w:ascii="Times New Roman" w:hAnsi="Times New Roman" w:cs="Times New Roman"/>
        </w:rPr>
        <w:t>%) y China (34</w:t>
      </w:r>
      <w:r w:rsidR="006959F8" w:rsidRPr="009F5B57">
        <w:rPr>
          <w:rFonts w:ascii="Times New Roman" w:hAnsi="Times New Roman" w:cs="Times New Roman"/>
        </w:rPr>
        <w:t xml:space="preserve"> </w:t>
      </w:r>
      <w:r w:rsidRPr="009F5B57">
        <w:rPr>
          <w:rFonts w:ascii="Times New Roman" w:hAnsi="Times New Roman" w:cs="Times New Roman"/>
        </w:rPr>
        <w:t xml:space="preserve">%) tienen tasas de matriculación más bajas. </w:t>
      </w:r>
    </w:p>
    <w:p w14:paraId="5EC6F39D" w14:textId="4953C2AE" w:rsidR="0046565A" w:rsidRPr="009F5B57" w:rsidRDefault="0046565A" w:rsidP="009F5B57">
      <w:pPr>
        <w:spacing w:before="100" w:beforeAutospacing="1" w:after="100" w:afterAutospacing="1" w:line="360" w:lineRule="auto"/>
        <w:ind w:firstLine="709"/>
        <w:jc w:val="both"/>
        <w:rPr>
          <w:rFonts w:ascii="Times New Roman" w:hAnsi="Times New Roman" w:cs="Times New Roman"/>
        </w:rPr>
      </w:pPr>
      <w:r w:rsidRPr="009F5B57">
        <w:rPr>
          <w:rFonts w:ascii="Times New Roman" w:hAnsi="Times New Roman" w:cs="Times New Roman"/>
        </w:rPr>
        <w:t xml:space="preserve">Mientras que en México esta proporción aumentó en 11 puntos porcentuales desde </w:t>
      </w:r>
      <w:r w:rsidR="00C3667C" w:rsidRPr="009F5B57">
        <w:rPr>
          <w:rFonts w:ascii="Times New Roman" w:hAnsi="Times New Roman" w:cs="Times New Roman"/>
        </w:rPr>
        <w:t xml:space="preserve">el año </w:t>
      </w:r>
      <w:r w:rsidRPr="009F5B57">
        <w:rPr>
          <w:rFonts w:ascii="Times New Roman" w:hAnsi="Times New Roman" w:cs="Times New Roman"/>
        </w:rPr>
        <w:t>2000, sigue siendo más baja que el promedio de la OCDE de 84</w:t>
      </w:r>
      <w:r w:rsidR="006959F8" w:rsidRPr="009F5B57">
        <w:rPr>
          <w:rFonts w:ascii="Times New Roman" w:hAnsi="Times New Roman" w:cs="Times New Roman"/>
        </w:rPr>
        <w:t xml:space="preserve"> </w:t>
      </w:r>
      <w:r w:rsidRPr="009F5B57">
        <w:rPr>
          <w:rFonts w:ascii="Times New Roman" w:hAnsi="Times New Roman" w:cs="Times New Roman"/>
        </w:rPr>
        <w:t>% y que la proporción observada en otros países de América Latina, como Argentina (73</w:t>
      </w:r>
      <w:r w:rsidR="006959F8" w:rsidRPr="009F5B57">
        <w:rPr>
          <w:rFonts w:ascii="Times New Roman" w:hAnsi="Times New Roman" w:cs="Times New Roman"/>
        </w:rPr>
        <w:t xml:space="preserve"> </w:t>
      </w:r>
      <w:r w:rsidRPr="009F5B57">
        <w:rPr>
          <w:rFonts w:ascii="Times New Roman" w:hAnsi="Times New Roman" w:cs="Times New Roman"/>
        </w:rPr>
        <w:t>%), Brasil (78</w:t>
      </w:r>
      <w:r w:rsidR="006959F8" w:rsidRPr="009F5B57">
        <w:rPr>
          <w:rFonts w:ascii="Times New Roman" w:hAnsi="Times New Roman" w:cs="Times New Roman"/>
        </w:rPr>
        <w:t xml:space="preserve"> </w:t>
      </w:r>
      <w:r w:rsidRPr="009F5B57">
        <w:rPr>
          <w:rFonts w:ascii="Times New Roman" w:hAnsi="Times New Roman" w:cs="Times New Roman"/>
        </w:rPr>
        <w:t>%) y Chile (76</w:t>
      </w:r>
      <w:r w:rsidR="006959F8" w:rsidRPr="009F5B57">
        <w:rPr>
          <w:rFonts w:ascii="Times New Roman" w:hAnsi="Times New Roman" w:cs="Times New Roman"/>
        </w:rPr>
        <w:t xml:space="preserve"> </w:t>
      </w:r>
      <w:r w:rsidRPr="009F5B57">
        <w:rPr>
          <w:rFonts w:ascii="Times New Roman" w:hAnsi="Times New Roman" w:cs="Times New Roman"/>
        </w:rPr>
        <w:t>%) .”</w:t>
      </w:r>
      <w:sdt>
        <w:sdtPr>
          <w:rPr>
            <w:rFonts w:ascii="Times New Roman" w:hAnsi="Times New Roman" w:cs="Times New Roman"/>
          </w:rPr>
          <w:id w:val="1485280930"/>
          <w:citation/>
        </w:sdtPr>
        <w:sdtContent>
          <w:r w:rsidRPr="009F5B57">
            <w:rPr>
              <w:rFonts w:ascii="Times New Roman" w:hAnsi="Times New Roman" w:cs="Times New Roman"/>
            </w:rPr>
            <w:fldChar w:fldCharType="begin"/>
          </w:r>
          <w:r w:rsidRPr="009F5B57">
            <w:rPr>
              <w:rFonts w:ascii="Times New Roman" w:hAnsi="Times New Roman" w:cs="Times New Roman"/>
            </w:rPr>
            <w:instrText xml:space="preserve"> CITATION OCD14 \l 1034 </w:instrText>
          </w:r>
          <w:r w:rsidRPr="009F5B57">
            <w:rPr>
              <w:rFonts w:ascii="Times New Roman" w:hAnsi="Times New Roman" w:cs="Times New Roman"/>
            </w:rPr>
            <w:fldChar w:fldCharType="separate"/>
          </w:r>
          <w:r w:rsidRPr="009F5B57">
            <w:rPr>
              <w:rFonts w:ascii="Times New Roman" w:hAnsi="Times New Roman" w:cs="Times New Roman"/>
              <w:noProof/>
            </w:rPr>
            <w:t xml:space="preserve"> (OCDE, 2014)</w:t>
          </w:r>
          <w:r w:rsidRPr="009F5B57">
            <w:rPr>
              <w:rFonts w:ascii="Times New Roman" w:hAnsi="Times New Roman" w:cs="Times New Roman"/>
            </w:rPr>
            <w:fldChar w:fldCharType="end"/>
          </w:r>
        </w:sdtContent>
      </w:sdt>
      <w:r w:rsidR="00E607B6" w:rsidRPr="009F5B57">
        <w:rPr>
          <w:rFonts w:ascii="Times New Roman" w:hAnsi="Times New Roman" w:cs="Times New Roman"/>
        </w:rPr>
        <w:t xml:space="preserve">. </w:t>
      </w:r>
      <w:r w:rsidR="00AC7B50" w:rsidRPr="009F5B57">
        <w:rPr>
          <w:rFonts w:ascii="Times New Roman" w:hAnsi="Times New Roman" w:cs="Times New Roman"/>
        </w:rPr>
        <w:t>En la siguiente gráfica se puede apreciar la comparación del nivel de participación en educación de jóvenes de 15 a 20 años en México comparado con el promedio de la OCDE, donde se puede apreciar lo anteriormente mencionado, donde nuestro país se sitúa por debajo del promedio.</w:t>
      </w:r>
    </w:p>
    <w:p w14:paraId="39EEC69F" w14:textId="441A9A8F" w:rsidR="006E4E50" w:rsidRPr="009F5B57" w:rsidRDefault="0046565A" w:rsidP="009F5B57">
      <w:pPr>
        <w:spacing w:before="100" w:beforeAutospacing="1" w:after="100" w:afterAutospacing="1" w:line="360" w:lineRule="auto"/>
        <w:ind w:left="1134"/>
        <w:jc w:val="both"/>
        <w:rPr>
          <w:rFonts w:ascii="Times New Roman" w:hAnsi="Times New Roman" w:cs="Times New Roman"/>
          <w:lang w:val="es-ES"/>
        </w:rPr>
      </w:pPr>
      <w:r w:rsidRPr="009F5B57">
        <w:rPr>
          <w:rFonts w:ascii="Times New Roman" w:hAnsi="Times New Roman" w:cs="Times New Roman"/>
          <w:noProof/>
          <w:lang w:val="es-ES"/>
        </w:rPr>
        <w:drawing>
          <wp:inline distT="0" distB="0" distL="0" distR="0" wp14:anchorId="6DBF5810" wp14:editId="7D2476A3">
            <wp:extent cx="3391772" cy="1489022"/>
            <wp:effectExtent l="0" t="0" r="37465" b="3556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AC7B50" w:rsidRPr="009F5B57">
        <w:rPr>
          <w:rFonts w:ascii="Times New Roman" w:hAnsi="Times New Roman" w:cs="Times New Roman"/>
          <w:lang w:val="es-ES"/>
        </w:rPr>
        <w:br/>
      </w:r>
      <w:r w:rsidR="00554336" w:rsidRPr="004110E4">
        <w:rPr>
          <w:rFonts w:ascii="Times New Roman" w:hAnsi="Times New Roman" w:cs="Times New Roman"/>
          <w:sz w:val="12"/>
          <w:szCs w:val="12"/>
          <w:lang w:val="es-ES"/>
        </w:rPr>
        <w:t xml:space="preserve">Gráfico 3. </w:t>
      </w:r>
      <w:r w:rsidRPr="004110E4">
        <w:rPr>
          <w:rFonts w:ascii="Times New Roman" w:hAnsi="Times New Roman" w:cs="Times New Roman"/>
          <w:sz w:val="12"/>
          <w:szCs w:val="12"/>
          <w:lang w:val="es-ES"/>
        </w:rPr>
        <w:t xml:space="preserve">Tomado de OCDE. (2014). Panorama de la educación 2014. Recuperado el 12 de 05 de 2016, de OCDE: </w:t>
      </w:r>
      <w:hyperlink r:id="rId13" w:history="1">
        <w:r w:rsidRPr="004110E4">
          <w:rPr>
            <w:rFonts w:ascii="Times New Roman" w:hAnsi="Times New Roman" w:cs="Times New Roman"/>
            <w:sz w:val="12"/>
            <w:szCs w:val="12"/>
          </w:rPr>
          <w:t>www.oecd.org/edu/Mexico-EAG2014-Country-Note-spanish.pdf</w:t>
        </w:r>
      </w:hyperlink>
      <w:r w:rsidR="00346015" w:rsidRPr="009F5B57">
        <w:rPr>
          <w:rFonts w:ascii="Times New Roman" w:hAnsi="Times New Roman" w:cs="Times New Roman"/>
          <w:lang w:val="es-ES"/>
        </w:rPr>
        <w:t xml:space="preserve"> </w:t>
      </w:r>
    </w:p>
    <w:p w14:paraId="37E896B4" w14:textId="7AE83516" w:rsidR="0046565A" w:rsidRPr="009F5B57" w:rsidRDefault="0046565A" w:rsidP="00947664">
      <w:pPr>
        <w:spacing w:before="100" w:beforeAutospacing="1" w:after="100" w:afterAutospacing="1" w:line="360" w:lineRule="auto"/>
        <w:ind w:firstLine="709"/>
        <w:jc w:val="both"/>
        <w:rPr>
          <w:rFonts w:ascii="Times New Roman" w:hAnsi="Times New Roman" w:cs="Times New Roman"/>
        </w:rPr>
      </w:pPr>
      <w:r w:rsidRPr="009F5B57">
        <w:rPr>
          <w:rFonts w:ascii="Times New Roman" w:hAnsi="Times New Roman" w:cs="Times New Roman"/>
        </w:rPr>
        <w:t>Preocupados por la educación y la</w:t>
      </w:r>
      <w:r w:rsidR="006959F8" w:rsidRPr="009F5B57">
        <w:rPr>
          <w:rFonts w:ascii="Times New Roman" w:hAnsi="Times New Roman" w:cs="Times New Roman"/>
        </w:rPr>
        <w:t xml:space="preserve"> salud en el país, se realizó e</w:t>
      </w:r>
      <w:r w:rsidR="009012F4" w:rsidRPr="009F5B57">
        <w:rPr>
          <w:rFonts w:ascii="Times New Roman" w:hAnsi="Times New Roman" w:cs="Times New Roman"/>
        </w:rPr>
        <w:t xml:space="preserve">l presente </w:t>
      </w:r>
      <w:r w:rsidRPr="009F5B57">
        <w:rPr>
          <w:rFonts w:ascii="Times New Roman" w:hAnsi="Times New Roman" w:cs="Times New Roman"/>
        </w:rPr>
        <w:t>estudio</w:t>
      </w:r>
      <w:r w:rsidR="006959F8" w:rsidRPr="009F5B57">
        <w:rPr>
          <w:rFonts w:ascii="Times New Roman" w:hAnsi="Times New Roman" w:cs="Times New Roman"/>
        </w:rPr>
        <w:t xml:space="preserve"> con el fin de determinar </w:t>
      </w:r>
      <w:r w:rsidRPr="009F5B57">
        <w:rPr>
          <w:rFonts w:ascii="Times New Roman" w:hAnsi="Times New Roman" w:cs="Times New Roman"/>
        </w:rPr>
        <w:t>cuáles son los factores que influyen en la asistencia a la escuela, haciendo un enfoque principal en la anemia.</w:t>
      </w:r>
      <w:r w:rsidR="00046388">
        <w:rPr>
          <w:rFonts w:ascii="Times New Roman" w:hAnsi="Times New Roman" w:cs="Times New Roman"/>
        </w:rPr>
        <w:t xml:space="preserve"> </w:t>
      </w:r>
      <w:r w:rsidRPr="009F5B57">
        <w:rPr>
          <w:rFonts w:ascii="Times New Roman" w:hAnsi="Times New Roman" w:cs="Times New Roman"/>
        </w:rPr>
        <w:t>Para poder realizar esta investigación, se us</w:t>
      </w:r>
      <w:r w:rsidR="00503CF9" w:rsidRPr="009F5B57">
        <w:rPr>
          <w:rFonts w:ascii="Times New Roman" w:hAnsi="Times New Roman" w:cs="Times New Roman"/>
        </w:rPr>
        <w:t>ó</w:t>
      </w:r>
      <w:r w:rsidRPr="009F5B57">
        <w:rPr>
          <w:rFonts w:ascii="Times New Roman" w:hAnsi="Times New Roman" w:cs="Times New Roman"/>
        </w:rPr>
        <w:t xml:space="preserve"> un modelo econométrico en conjunto del programa </w:t>
      </w:r>
      <w:proofErr w:type="spellStart"/>
      <w:r w:rsidRPr="009F5B57">
        <w:rPr>
          <w:rFonts w:ascii="Times New Roman" w:hAnsi="Times New Roman" w:cs="Times New Roman"/>
        </w:rPr>
        <w:t>Gretl</w:t>
      </w:r>
      <w:proofErr w:type="spellEnd"/>
      <w:r w:rsidRPr="009F5B57">
        <w:rPr>
          <w:rFonts w:ascii="Times New Roman" w:hAnsi="Times New Roman" w:cs="Times New Roman"/>
        </w:rPr>
        <w:t xml:space="preserve">  para así facilitar los cálculos de dicha investigación. </w:t>
      </w:r>
      <w:r w:rsidR="00046388">
        <w:rPr>
          <w:rFonts w:ascii="Times New Roman" w:hAnsi="Times New Roman" w:cs="Times New Roman"/>
        </w:rPr>
        <w:t>Cabe aclarar que s</w:t>
      </w:r>
      <w:r w:rsidRPr="009F5B57">
        <w:rPr>
          <w:rFonts w:ascii="Times New Roman" w:hAnsi="Times New Roman" w:cs="Times New Roman"/>
        </w:rPr>
        <w:t>e realizar</w:t>
      </w:r>
      <w:r w:rsidR="00503CF9" w:rsidRPr="009F5B57">
        <w:rPr>
          <w:rFonts w:ascii="Times New Roman" w:hAnsi="Times New Roman" w:cs="Times New Roman"/>
        </w:rPr>
        <w:t>o</w:t>
      </w:r>
      <w:r w:rsidRPr="009F5B57">
        <w:rPr>
          <w:rFonts w:ascii="Times New Roman" w:hAnsi="Times New Roman" w:cs="Times New Roman"/>
        </w:rPr>
        <w:t>n dos regresiones distintas para poder encontrar la relación entre la anemia y la asistencia a la escuela y la an</w:t>
      </w:r>
      <w:r w:rsidR="006E4E50" w:rsidRPr="009F5B57">
        <w:rPr>
          <w:rFonts w:ascii="Times New Roman" w:hAnsi="Times New Roman" w:cs="Times New Roman"/>
        </w:rPr>
        <w:t xml:space="preserve">emia relacionada al rezago </w:t>
      </w:r>
      <w:r w:rsidRPr="009F5B57">
        <w:rPr>
          <w:rFonts w:ascii="Times New Roman" w:hAnsi="Times New Roman" w:cs="Times New Roman"/>
        </w:rPr>
        <w:t>estudiantil.</w:t>
      </w:r>
    </w:p>
    <w:p w14:paraId="4BEA7090" w14:textId="415FB337" w:rsidR="0046565A" w:rsidRPr="004110E4" w:rsidRDefault="0046565A" w:rsidP="004110E4">
      <w:pPr>
        <w:spacing w:line="360" w:lineRule="auto"/>
        <w:ind w:left="426"/>
        <w:rPr>
          <w:rFonts w:ascii="Times New Roman" w:hAnsi="Times New Roman" w:cs="Times New Roman"/>
          <w:i/>
        </w:rPr>
      </w:pPr>
      <w:r w:rsidRPr="004110E4">
        <w:rPr>
          <w:rFonts w:ascii="Times New Roman" w:hAnsi="Times New Roman" w:cs="Times New Roman"/>
          <w:i/>
        </w:rPr>
        <w:t xml:space="preserve">  3.3 Descripción de los datos y la base de datos</w:t>
      </w:r>
    </w:p>
    <w:p w14:paraId="7BED3168" w14:textId="4F1FD283" w:rsidR="0046565A" w:rsidRPr="009F5B57" w:rsidRDefault="0046565A" w:rsidP="009F5B57">
      <w:pPr>
        <w:spacing w:before="100" w:beforeAutospacing="1" w:after="100" w:afterAutospacing="1" w:line="360" w:lineRule="auto"/>
        <w:ind w:firstLine="709"/>
        <w:jc w:val="both"/>
        <w:rPr>
          <w:rFonts w:ascii="Times New Roman" w:hAnsi="Times New Roman" w:cs="Times New Roman"/>
        </w:rPr>
      </w:pPr>
      <w:r w:rsidRPr="009F5B57">
        <w:rPr>
          <w:rFonts w:ascii="Times New Roman" w:hAnsi="Times New Roman" w:cs="Times New Roman"/>
        </w:rPr>
        <w:lastRenderedPageBreak/>
        <w:t>Todos los datos utilizados en esta investigación, fueron tomados de la encuesta ENSANUT 2012</w:t>
      </w:r>
      <w:r w:rsidR="001B666C" w:rsidRPr="009F5B57">
        <w:rPr>
          <w:rFonts w:ascii="Times New Roman" w:hAnsi="Times New Roman" w:cs="Times New Roman"/>
        </w:rPr>
        <w:t xml:space="preserve">, la cual tomó una muestra de 1 </w:t>
      </w:r>
      <w:r w:rsidRPr="009F5B57">
        <w:rPr>
          <w:rFonts w:ascii="Times New Roman" w:hAnsi="Times New Roman" w:cs="Times New Roman"/>
        </w:rPr>
        <w:t xml:space="preserve">712 viviendas por estado; las unidades primarias de muestreo (UPM) fueron las AGEB (“Un área </w:t>
      </w:r>
      <w:proofErr w:type="spellStart"/>
      <w:r w:rsidRPr="009F5B57">
        <w:rPr>
          <w:rFonts w:ascii="Times New Roman" w:hAnsi="Times New Roman" w:cs="Times New Roman"/>
        </w:rPr>
        <w:t>geoestadística</w:t>
      </w:r>
      <w:proofErr w:type="spellEnd"/>
      <w:r w:rsidRPr="009F5B57">
        <w:rPr>
          <w:rFonts w:ascii="Times New Roman" w:hAnsi="Times New Roman" w:cs="Times New Roman"/>
        </w:rPr>
        <w:t xml:space="preserve"> básica (AGEB) es la extensión territorial que corresponde a la subdivisión de las áreas </w:t>
      </w:r>
      <w:proofErr w:type="spellStart"/>
      <w:r w:rsidRPr="009F5B57">
        <w:rPr>
          <w:rFonts w:ascii="Times New Roman" w:hAnsi="Times New Roman" w:cs="Times New Roman"/>
        </w:rPr>
        <w:t>geoestadísticas</w:t>
      </w:r>
      <w:proofErr w:type="spellEnd"/>
      <w:r w:rsidRPr="009F5B57">
        <w:rPr>
          <w:rFonts w:ascii="Times New Roman" w:hAnsi="Times New Roman" w:cs="Times New Roman"/>
        </w:rPr>
        <w:t xml:space="preserve"> municipales..)” </w:t>
      </w:r>
      <w:sdt>
        <w:sdtPr>
          <w:rPr>
            <w:rFonts w:ascii="Times New Roman" w:hAnsi="Times New Roman" w:cs="Times New Roman"/>
          </w:rPr>
          <w:id w:val="1482504814"/>
          <w:citation/>
        </w:sdtPr>
        <w:sdtContent>
          <w:r w:rsidRPr="009F5B57">
            <w:rPr>
              <w:rFonts w:ascii="Times New Roman" w:hAnsi="Times New Roman" w:cs="Times New Roman"/>
            </w:rPr>
            <w:fldChar w:fldCharType="begin"/>
          </w:r>
          <w:r w:rsidRPr="009F5B57">
            <w:rPr>
              <w:rFonts w:ascii="Times New Roman" w:hAnsi="Times New Roman" w:cs="Times New Roman"/>
            </w:rPr>
            <w:instrText xml:space="preserve"> CITATION INE10 \l 1034 </w:instrText>
          </w:r>
          <w:r w:rsidRPr="009F5B57">
            <w:rPr>
              <w:rFonts w:ascii="Times New Roman" w:hAnsi="Times New Roman" w:cs="Times New Roman"/>
            </w:rPr>
            <w:fldChar w:fldCharType="separate"/>
          </w:r>
          <w:r w:rsidRPr="009F5B57">
            <w:rPr>
              <w:rFonts w:ascii="Times New Roman" w:hAnsi="Times New Roman" w:cs="Times New Roman"/>
              <w:noProof/>
            </w:rPr>
            <w:t>(INEGI, 2010)</w:t>
          </w:r>
          <w:r w:rsidRPr="009F5B57">
            <w:rPr>
              <w:rFonts w:ascii="Times New Roman" w:hAnsi="Times New Roman" w:cs="Times New Roman"/>
            </w:rPr>
            <w:fldChar w:fldCharType="end"/>
          </w:r>
        </w:sdtContent>
      </w:sdt>
      <w:r w:rsidR="00573D37" w:rsidRPr="009F5B57">
        <w:rPr>
          <w:rFonts w:ascii="Times New Roman" w:hAnsi="Times New Roman" w:cs="Times New Roman"/>
        </w:rPr>
        <w:t xml:space="preserve"> [24</w:t>
      </w:r>
      <w:r w:rsidRPr="009F5B57">
        <w:rPr>
          <w:rFonts w:ascii="Times New Roman" w:hAnsi="Times New Roman" w:cs="Times New Roman"/>
        </w:rPr>
        <w:t>]</w:t>
      </w:r>
    </w:p>
    <w:p w14:paraId="47FB311D" w14:textId="2AFFA780" w:rsidR="0046565A" w:rsidRPr="009F5B57" w:rsidRDefault="00B43E1F" w:rsidP="004110E4">
      <w:pPr>
        <w:spacing w:line="360" w:lineRule="auto"/>
        <w:ind w:firstLine="709"/>
        <w:jc w:val="both"/>
        <w:rPr>
          <w:rFonts w:ascii="Times New Roman" w:hAnsi="Times New Roman" w:cs="Times New Roman"/>
        </w:rPr>
      </w:pPr>
      <w:r w:rsidRPr="009F5B57">
        <w:rPr>
          <w:rFonts w:ascii="Times New Roman" w:hAnsi="Times New Roman" w:cs="Times New Roman"/>
        </w:rPr>
        <w:t xml:space="preserve"> </w:t>
      </w:r>
      <w:r w:rsidR="0046565A" w:rsidRPr="009F5B57">
        <w:rPr>
          <w:rFonts w:ascii="Times New Roman" w:hAnsi="Times New Roman" w:cs="Times New Roman"/>
        </w:rPr>
        <w:t>Las unidades primarias de muestreo, se estratifican por dos criterios, los cuales son urbanidad y marginalidad. Las AGEB con mayor rezago social, son aquellas que tienen el 20</w:t>
      </w:r>
      <w:r w:rsidR="009012F4" w:rsidRPr="009F5B57">
        <w:rPr>
          <w:rFonts w:ascii="Times New Roman" w:hAnsi="Times New Roman" w:cs="Times New Roman"/>
        </w:rPr>
        <w:t xml:space="preserve"> </w:t>
      </w:r>
      <w:r w:rsidR="0046565A" w:rsidRPr="009F5B57">
        <w:rPr>
          <w:rFonts w:ascii="Times New Roman" w:hAnsi="Times New Roman" w:cs="Times New Roman"/>
        </w:rPr>
        <w:t>% de las viviendas con un mayor rezago social, el cual se definió para esta encuesta mediante la emulación d</w:t>
      </w:r>
      <w:r w:rsidR="00F703BD" w:rsidRPr="009F5B57">
        <w:rPr>
          <w:rFonts w:ascii="Times New Roman" w:hAnsi="Times New Roman" w:cs="Times New Roman"/>
        </w:rPr>
        <w:t xml:space="preserve">el índice de rezago social que </w:t>
      </w:r>
      <w:r w:rsidR="0046565A" w:rsidRPr="009F5B57">
        <w:rPr>
          <w:rFonts w:ascii="Times New Roman" w:hAnsi="Times New Roman" w:cs="Times New Roman"/>
        </w:rPr>
        <w:t>define el CONEVAL</w:t>
      </w:r>
      <w:r w:rsidR="009012F4" w:rsidRPr="009F5B57">
        <w:rPr>
          <w:rFonts w:ascii="Times New Roman" w:hAnsi="Times New Roman" w:cs="Times New Roman"/>
        </w:rPr>
        <w:t xml:space="preserve">. </w:t>
      </w:r>
      <w:r w:rsidR="0046565A" w:rsidRPr="009F5B57">
        <w:rPr>
          <w:rFonts w:ascii="Times New Roman" w:hAnsi="Times New Roman" w:cs="Times New Roman"/>
        </w:rPr>
        <w:t>En</w:t>
      </w:r>
      <w:r w:rsidR="009012F4" w:rsidRPr="009F5B57">
        <w:rPr>
          <w:rFonts w:ascii="Times New Roman" w:hAnsi="Times New Roman" w:cs="Times New Roman"/>
        </w:rPr>
        <w:t xml:space="preserve"> </w:t>
      </w:r>
      <w:r w:rsidR="0046565A" w:rsidRPr="009F5B57">
        <w:rPr>
          <w:rFonts w:ascii="Times New Roman" w:hAnsi="Times New Roman" w:cs="Times New Roman"/>
        </w:rPr>
        <w:t>dicha emulación se considera estrato rural a</w:t>
      </w:r>
      <w:r w:rsidR="001B666C" w:rsidRPr="009F5B57">
        <w:rPr>
          <w:rFonts w:ascii="Times New Roman" w:hAnsi="Times New Roman" w:cs="Times New Roman"/>
        </w:rPr>
        <w:t xml:space="preserve"> las localidades con menos de 2 </w:t>
      </w:r>
      <w:r w:rsidR="0046565A" w:rsidRPr="009F5B57">
        <w:rPr>
          <w:rFonts w:ascii="Times New Roman" w:hAnsi="Times New Roman" w:cs="Times New Roman"/>
        </w:rPr>
        <w:t>500 habitantes y estrato metropolitano a aquellas con mas de 100 mil habitantes.</w:t>
      </w:r>
      <w:r w:rsidR="009012F4" w:rsidRPr="009F5B57">
        <w:rPr>
          <w:rFonts w:ascii="Times New Roman" w:hAnsi="Times New Roman" w:cs="Times New Roman"/>
        </w:rPr>
        <w:t xml:space="preserve"> </w:t>
      </w:r>
    </w:p>
    <w:p w14:paraId="5A9178B9" w14:textId="77777777" w:rsidR="00C3667C" w:rsidRPr="009F5B57" w:rsidRDefault="00C3667C" w:rsidP="009F5B57">
      <w:pPr>
        <w:spacing w:line="360" w:lineRule="auto"/>
        <w:ind w:firstLine="709"/>
        <w:jc w:val="both"/>
        <w:rPr>
          <w:rFonts w:ascii="Times New Roman" w:hAnsi="Times New Roman" w:cs="Times New Roman"/>
        </w:rPr>
      </w:pPr>
    </w:p>
    <w:p w14:paraId="720EA5A0" w14:textId="6D8570CA" w:rsidR="00D64BF4" w:rsidRPr="009F5B57" w:rsidRDefault="00C3667C" w:rsidP="00947664">
      <w:pPr>
        <w:spacing w:line="360" w:lineRule="auto"/>
        <w:ind w:firstLine="709"/>
        <w:jc w:val="both"/>
        <w:rPr>
          <w:rFonts w:ascii="Times New Roman" w:hAnsi="Times New Roman" w:cs="Times New Roman"/>
        </w:rPr>
      </w:pPr>
      <w:r w:rsidRPr="009F5B57">
        <w:rPr>
          <w:rFonts w:ascii="Times New Roman" w:hAnsi="Times New Roman" w:cs="Times New Roman"/>
        </w:rPr>
        <w:t xml:space="preserve">Las variables de mayor interés en nuestro estudio </w:t>
      </w:r>
      <w:r w:rsidR="009012F4" w:rsidRPr="009F5B57">
        <w:rPr>
          <w:rFonts w:ascii="Times New Roman" w:hAnsi="Times New Roman" w:cs="Times New Roman"/>
        </w:rPr>
        <w:t xml:space="preserve">fueron </w:t>
      </w:r>
      <w:r w:rsidRPr="009F5B57">
        <w:rPr>
          <w:rFonts w:ascii="Times New Roman" w:hAnsi="Times New Roman" w:cs="Times New Roman"/>
        </w:rPr>
        <w:t>la asistencia a la escuela, el rezago estudiantil y la anemia</w:t>
      </w:r>
      <w:r w:rsidR="004110E4">
        <w:rPr>
          <w:rFonts w:ascii="Times New Roman" w:hAnsi="Times New Roman" w:cs="Times New Roman"/>
        </w:rPr>
        <w:t>.</w:t>
      </w:r>
      <w:r w:rsidR="00046388">
        <w:rPr>
          <w:rFonts w:ascii="Times New Roman" w:hAnsi="Times New Roman" w:cs="Times New Roman"/>
        </w:rPr>
        <w:t xml:space="preserve"> </w:t>
      </w:r>
      <w:r w:rsidR="00E56A71" w:rsidRPr="009F5B57">
        <w:rPr>
          <w:rFonts w:ascii="Times New Roman" w:hAnsi="Times New Roman" w:cs="Times New Roman"/>
        </w:rPr>
        <w:t xml:space="preserve">Para tener una idea de la distribución de frecuencia que tiene cada una de las variables de mayor interés, se presentan los siguientes </w:t>
      </w:r>
      <w:r w:rsidR="00BB012A" w:rsidRPr="009F5B57">
        <w:rPr>
          <w:rFonts w:ascii="Times New Roman" w:hAnsi="Times New Roman" w:cs="Times New Roman"/>
        </w:rPr>
        <w:t>tablas de distribución de frecuencias, las cuales nos indican la cantidad de casos positivos o negativos de cada una de las variables de nuestro interés</w:t>
      </w:r>
      <w:r w:rsidR="00F703BD" w:rsidRPr="009F5B57">
        <w:rPr>
          <w:rFonts w:ascii="Times New Roman" w:hAnsi="Times New Roman" w:cs="Times New Roman"/>
        </w:rPr>
        <w:t>. En la tabla</w:t>
      </w:r>
      <w:r w:rsidR="00F566C7" w:rsidRPr="009F5B57">
        <w:rPr>
          <w:rFonts w:ascii="Times New Roman" w:hAnsi="Times New Roman" w:cs="Times New Roman"/>
        </w:rPr>
        <w:t xml:space="preserve"> 3 podemos encontrar qu</w:t>
      </w:r>
      <w:r w:rsidR="00F703BD" w:rsidRPr="009F5B57">
        <w:rPr>
          <w:rFonts w:ascii="Times New Roman" w:hAnsi="Times New Roman" w:cs="Times New Roman"/>
        </w:rPr>
        <w:t>e del total de datos que fueron</w:t>
      </w:r>
      <w:r w:rsidR="00F566C7" w:rsidRPr="009F5B57">
        <w:rPr>
          <w:rFonts w:ascii="Times New Roman" w:hAnsi="Times New Roman" w:cs="Times New Roman"/>
        </w:rPr>
        <w:t xml:space="preserve"> 14 188, 730 personas fueron la muestra total de personas con anemia, lo que indica que es un 6.27 % del total de la población rep</w:t>
      </w:r>
      <w:r w:rsidR="00F703BD" w:rsidRPr="009F5B57">
        <w:rPr>
          <w:rFonts w:ascii="Times New Roman" w:hAnsi="Times New Roman" w:cs="Times New Roman"/>
        </w:rPr>
        <w:t xml:space="preserve">resentativa para esta muestra. </w:t>
      </w:r>
    </w:p>
    <w:p w14:paraId="09D1C92B" w14:textId="3C07062A" w:rsidR="00C17980" w:rsidRPr="004110E4" w:rsidRDefault="0075560C" w:rsidP="009F5B57">
      <w:pPr>
        <w:spacing w:line="360" w:lineRule="auto"/>
        <w:ind w:left="160"/>
        <w:rPr>
          <w:rFonts w:ascii="Times New Roman" w:hAnsi="Times New Roman" w:cs="Times New Roman"/>
          <w:b/>
          <w:sz w:val="16"/>
          <w:szCs w:val="16"/>
        </w:rPr>
      </w:pPr>
      <w:r w:rsidRPr="004110E4">
        <w:rPr>
          <w:rFonts w:ascii="Times New Roman" w:hAnsi="Times New Roman" w:cs="Times New Roman"/>
          <w:b/>
          <w:sz w:val="16"/>
          <w:szCs w:val="16"/>
        </w:rPr>
        <w:t>Tabla 4.</w:t>
      </w:r>
      <w:r w:rsidR="00C538FB" w:rsidRPr="004110E4">
        <w:rPr>
          <w:rFonts w:ascii="Times New Roman" w:hAnsi="Times New Roman" w:cs="Times New Roman"/>
          <w:b/>
          <w:sz w:val="16"/>
          <w:szCs w:val="16"/>
        </w:rPr>
        <w:t xml:space="preserve"> Tabla de frecuencia anemia</w:t>
      </w:r>
    </w:p>
    <w:tbl>
      <w:tblPr>
        <w:tblStyle w:val="Sombreadoclaro-nfasis1"/>
        <w:tblW w:w="0" w:type="auto"/>
        <w:tblLook w:val="04A0" w:firstRow="1" w:lastRow="0" w:firstColumn="1" w:lastColumn="0" w:noHBand="0" w:noVBand="1"/>
      </w:tblPr>
      <w:tblGrid>
        <w:gridCol w:w="2244"/>
        <w:gridCol w:w="2244"/>
        <w:gridCol w:w="2245"/>
        <w:gridCol w:w="2245"/>
      </w:tblGrid>
      <w:tr w:rsidR="00C17980" w:rsidRPr="004110E4" w14:paraId="3FFB9505" w14:textId="77777777" w:rsidTr="00947664">
        <w:trPr>
          <w:cnfStyle w:val="100000000000" w:firstRow="1" w:lastRow="0" w:firstColumn="0" w:lastColumn="0" w:oddVBand="0" w:evenVBand="0" w:oddHBand="0"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2244" w:type="dxa"/>
          </w:tcPr>
          <w:p w14:paraId="32C6002F" w14:textId="77777777" w:rsidR="00C17980" w:rsidRPr="004110E4" w:rsidRDefault="00C17980" w:rsidP="009F5B57">
            <w:pPr>
              <w:spacing w:line="360" w:lineRule="auto"/>
              <w:jc w:val="both"/>
              <w:rPr>
                <w:rFonts w:ascii="Times New Roman" w:hAnsi="Times New Roman" w:cs="Times New Roman"/>
                <w:sz w:val="16"/>
                <w:szCs w:val="16"/>
              </w:rPr>
            </w:pPr>
          </w:p>
        </w:tc>
        <w:tc>
          <w:tcPr>
            <w:tcW w:w="2244" w:type="dxa"/>
          </w:tcPr>
          <w:p w14:paraId="7101EB34" w14:textId="4414B658" w:rsidR="00C17980" w:rsidRPr="004110E4" w:rsidRDefault="00C17980" w:rsidP="009F5B5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110E4">
              <w:rPr>
                <w:rFonts w:ascii="Times New Roman" w:hAnsi="Times New Roman" w:cs="Times New Roman"/>
                <w:sz w:val="16"/>
                <w:szCs w:val="16"/>
              </w:rPr>
              <w:t>Frecuencia</w:t>
            </w:r>
          </w:p>
        </w:tc>
        <w:tc>
          <w:tcPr>
            <w:tcW w:w="2245" w:type="dxa"/>
          </w:tcPr>
          <w:p w14:paraId="71A92BD0" w14:textId="1A39BA38" w:rsidR="00C17980" w:rsidRPr="004110E4" w:rsidRDefault="00C17980" w:rsidP="009F5B5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110E4">
              <w:rPr>
                <w:rFonts w:ascii="Times New Roman" w:hAnsi="Times New Roman" w:cs="Times New Roman"/>
                <w:sz w:val="16"/>
                <w:szCs w:val="16"/>
              </w:rPr>
              <w:t>Relativa</w:t>
            </w:r>
          </w:p>
        </w:tc>
        <w:tc>
          <w:tcPr>
            <w:tcW w:w="2245" w:type="dxa"/>
          </w:tcPr>
          <w:p w14:paraId="0202C992" w14:textId="598C8263" w:rsidR="00C17980" w:rsidRPr="004110E4" w:rsidRDefault="00C17980" w:rsidP="009F5B5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110E4">
              <w:rPr>
                <w:rFonts w:ascii="Times New Roman" w:hAnsi="Times New Roman" w:cs="Times New Roman"/>
                <w:sz w:val="16"/>
                <w:szCs w:val="16"/>
              </w:rPr>
              <w:t>Acumulada</w:t>
            </w:r>
          </w:p>
        </w:tc>
      </w:tr>
      <w:tr w:rsidR="00C17980" w:rsidRPr="004110E4" w14:paraId="364A8412" w14:textId="77777777" w:rsidTr="00C179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tcPr>
          <w:p w14:paraId="3190B663" w14:textId="0EF19EB2" w:rsidR="00C17980" w:rsidRPr="004110E4" w:rsidRDefault="00C17980" w:rsidP="009F5B57">
            <w:pPr>
              <w:spacing w:line="360" w:lineRule="auto"/>
              <w:jc w:val="both"/>
              <w:rPr>
                <w:rFonts w:ascii="Times New Roman" w:hAnsi="Times New Roman" w:cs="Times New Roman"/>
                <w:sz w:val="16"/>
                <w:szCs w:val="16"/>
              </w:rPr>
            </w:pPr>
            <w:r w:rsidRPr="004110E4">
              <w:rPr>
                <w:rFonts w:ascii="Times New Roman" w:hAnsi="Times New Roman" w:cs="Times New Roman"/>
                <w:sz w:val="16"/>
                <w:szCs w:val="16"/>
              </w:rPr>
              <w:t>0 (no anemia)</w:t>
            </w:r>
          </w:p>
        </w:tc>
        <w:tc>
          <w:tcPr>
            <w:tcW w:w="2244" w:type="dxa"/>
          </w:tcPr>
          <w:p w14:paraId="17B1CF15" w14:textId="539E7AD9" w:rsidR="00C17980" w:rsidRPr="004110E4" w:rsidRDefault="00C17980" w:rsidP="009F5B5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110E4">
              <w:rPr>
                <w:rFonts w:ascii="Times New Roman" w:hAnsi="Times New Roman" w:cs="Times New Roman"/>
                <w:sz w:val="16"/>
                <w:szCs w:val="16"/>
              </w:rPr>
              <w:t>10906</w:t>
            </w:r>
          </w:p>
        </w:tc>
        <w:tc>
          <w:tcPr>
            <w:tcW w:w="2245" w:type="dxa"/>
          </w:tcPr>
          <w:p w14:paraId="1B620750" w14:textId="6523BBFF" w:rsidR="00C17980" w:rsidRPr="004110E4" w:rsidRDefault="00C17980" w:rsidP="009F5B5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110E4">
              <w:rPr>
                <w:rFonts w:ascii="Times New Roman" w:hAnsi="Times New Roman" w:cs="Times New Roman"/>
                <w:sz w:val="16"/>
                <w:szCs w:val="16"/>
              </w:rPr>
              <w:t>93.73%</w:t>
            </w:r>
          </w:p>
        </w:tc>
        <w:tc>
          <w:tcPr>
            <w:tcW w:w="2245" w:type="dxa"/>
          </w:tcPr>
          <w:p w14:paraId="1ABF41C3" w14:textId="65479905" w:rsidR="00C17980" w:rsidRPr="004110E4" w:rsidRDefault="00C17980" w:rsidP="009F5B5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110E4">
              <w:rPr>
                <w:rFonts w:ascii="Times New Roman" w:hAnsi="Times New Roman" w:cs="Times New Roman"/>
                <w:sz w:val="16"/>
                <w:szCs w:val="16"/>
              </w:rPr>
              <w:t>93.73%</w:t>
            </w:r>
          </w:p>
        </w:tc>
      </w:tr>
      <w:tr w:rsidR="00C17980" w:rsidRPr="004110E4" w14:paraId="774C458A" w14:textId="77777777" w:rsidTr="00947664">
        <w:trPr>
          <w:trHeight w:val="116"/>
        </w:trPr>
        <w:tc>
          <w:tcPr>
            <w:cnfStyle w:val="001000000000" w:firstRow="0" w:lastRow="0" w:firstColumn="1" w:lastColumn="0" w:oddVBand="0" w:evenVBand="0" w:oddHBand="0" w:evenHBand="0" w:firstRowFirstColumn="0" w:firstRowLastColumn="0" w:lastRowFirstColumn="0" w:lastRowLastColumn="0"/>
            <w:tcW w:w="2244" w:type="dxa"/>
          </w:tcPr>
          <w:p w14:paraId="63B98326" w14:textId="6661DE6A" w:rsidR="00C17980" w:rsidRPr="004110E4" w:rsidRDefault="00C17980" w:rsidP="009F5B57">
            <w:pPr>
              <w:spacing w:line="360" w:lineRule="auto"/>
              <w:jc w:val="both"/>
              <w:rPr>
                <w:rFonts w:ascii="Times New Roman" w:hAnsi="Times New Roman" w:cs="Times New Roman"/>
                <w:sz w:val="16"/>
                <w:szCs w:val="16"/>
              </w:rPr>
            </w:pPr>
            <w:r w:rsidRPr="004110E4">
              <w:rPr>
                <w:rFonts w:ascii="Times New Roman" w:hAnsi="Times New Roman" w:cs="Times New Roman"/>
                <w:sz w:val="16"/>
                <w:szCs w:val="16"/>
              </w:rPr>
              <w:t>1 (anemia)</w:t>
            </w:r>
          </w:p>
        </w:tc>
        <w:tc>
          <w:tcPr>
            <w:tcW w:w="2244" w:type="dxa"/>
          </w:tcPr>
          <w:p w14:paraId="5EE93620" w14:textId="01DBB7B8" w:rsidR="00C17980" w:rsidRPr="004110E4" w:rsidRDefault="00C17980" w:rsidP="009F5B5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110E4">
              <w:rPr>
                <w:rFonts w:ascii="Times New Roman" w:hAnsi="Times New Roman" w:cs="Times New Roman"/>
                <w:sz w:val="16"/>
                <w:szCs w:val="16"/>
              </w:rPr>
              <w:t>730</w:t>
            </w:r>
          </w:p>
        </w:tc>
        <w:tc>
          <w:tcPr>
            <w:tcW w:w="2245" w:type="dxa"/>
          </w:tcPr>
          <w:p w14:paraId="33CE43FD" w14:textId="26F021A6" w:rsidR="00C17980" w:rsidRPr="004110E4" w:rsidRDefault="00C17980" w:rsidP="009F5B5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110E4">
              <w:rPr>
                <w:rFonts w:ascii="Times New Roman" w:hAnsi="Times New Roman" w:cs="Times New Roman"/>
                <w:sz w:val="16"/>
                <w:szCs w:val="16"/>
              </w:rPr>
              <w:t>6.27%</w:t>
            </w:r>
          </w:p>
        </w:tc>
        <w:tc>
          <w:tcPr>
            <w:tcW w:w="2245" w:type="dxa"/>
          </w:tcPr>
          <w:p w14:paraId="0B131D00" w14:textId="06C64C1B" w:rsidR="00C17980" w:rsidRPr="004110E4" w:rsidRDefault="00C17980" w:rsidP="009F5B5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110E4">
              <w:rPr>
                <w:rFonts w:ascii="Times New Roman" w:hAnsi="Times New Roman" w:cs="Times New Roman"/>
                <w:sz w:val="16"/>
                <w:szCs w:val="16"/>
              </w:rPr>
              <w:t>100.00%</w:t>
            </w:r>
          </w:p>
        </w:tc>
      </w:tr>
    </w:tbl>
    <w:p w14:paraId="75D0454C" w14:textId="77777777" w:rsidR="00823E23" w:rsidRPr="009F5B57" w:rsidRDefault="00823E23" w:rsidP="009F5B57">
      <w:pPr>
        <w:spacing w:line="360" w:lineRule="auto"/>
        <w:jc w:val="both"/>
        <w:rPr>
          <w:rFonts w:ascii="Times New Roman" w:hAnsi="Times New Roman" w:cs="Times New Roman"/>
        </w:rPr>
      </w:pPr>
    </w:p>
    <w:p w14:paraId="2BBC6A6A" w14:textId="3344F716" w:rsidR="0009257E" w:rsidRPr="00947664" w:rsidRDefault="0075560C" w:rsidP="00947664">
      <w:pPr>
        <w:spacing w:line="360" w:lineRule="auto"/>
        <w:ind w:firstLine="709"/>
        <w:jc w:val="both"/>
        <w:rPr>
          <w:rFonts w:ascii="Times New Roman" w:hAnsi="Times New Roman" w:cs="Times New Roman"/>
        </w:rPr>
      </w:pPr>
      <w:r w:rsidRPr="009F5B57">
        <w:rPr>
          <w:rFonts w:ascii="Times New Roman" w:hAnsi="Times New Roman" w:cs="Times New Roman"/>
        </w:rPr>
        <w:t>En la tabla 5 se muestra la frecuencia del r</w:t>
      </w:r>
      <w:r w:rsidR="00ED0C28" w:rsidRPr="009F5B57">
        <w:rPr>
          <w:rFonts w:ascii="Times New Roman" w:hAnsi="Times New Roman" w:cs="Times New Roman"/>
        </w:rPr>
        <w:t xml:space="preserve">ezago, </w:t>
      </w:r>
      <w:r w:rsidRPr="009F5B57">
        <w:rPr>
          <w:rFonts w:ascii="Times New Roman" w:hAnsi="Times New Roman" w:cs="Times New Roman"/>
        </w:rPr>
        <w:t>lo que nos dice es que del total de observaciones (</w:t>
      </w:r>
      <w:r w:rsidR="00ED0C28" w:rsidRPr="009F5B57">
        <w:rPr>
          <w:rFonts w:ascii="Times New Roman" w:hAnsi="Times New Roman" w:cs="Times New Roman"/>
        </w:rPr>
        <w:t>14188</w:t>
      </w:r>
      <w:r w:rsidRPr="009F5B57">
        <w:rPr>
          <w:rFonts w:ascii="Times New Roman" w:hAnsi="Times New Roman" w:cs="Times New Roman"/>
        </w:rPr>
        <w:t>) 8582 personas se encuentran en situación de rezago, lo que representa un 60.49 % de la muestra, esto es alarmante debido a que es un porcentaje grande de la población.</w:t>
      </w:r>
    </w:p>
    <w:p w14:paraId="11FA89A6" w14:textId="0ADED73F" w:rsidR="00E745F8" w:rsidRPr="004110E4" w:rsidRDefault="0075560C" w:rsidP="009F5B57">
      <w:pPr>
        <w:spacing w:line="360" w:lineRule="auto"/>
        <w:ind w:left="160"/>
        <w:rPr>
          <w:rFonts w:ascii="Times New Roman" w:hAnsi="Times New Roman" w:cs="Times New Roman"/>
          <w:sz w:val="16"/>
          <w:szCs w:val="16"/>
        </w:rPr>
      </w:pPr>
      <w:r w:rsidRPr="004110E4">
        <w:rPr>
          <w:rFonts w:ascii="Times New Roman" w:hAnsi="Times New Roman" w:cs="Times New Roman"/>
          <w:b/>
          <w:sz w:val="16"/>
          <w:szCs w:val="16"/>
        </w:rPr>
        <w:t>Tabla 5</w:t>
      </w:r>
      <w:r w:rsidRPr="004110E4">
        <w:rPr>
          <w:rFonts w:ascii="Times New Roman" w:hAnsi="Times New Roman" w:cs="Times New Roman"/>
          <w:sz w:val="16"/>
          <w:szCs w:val="16"/>
        </w:rPr>
        <w:t>.</w:t>
      </w:r>
      <w:r w:rsidR="0009257E" w:rsidRPr="004110E4">
        <w:rPr>
          <w:rFonts w:ascii="Times New Roman" w:hAnsi="Times New Roman" w:cs="Times New Roman"/>
          <w:b/>
          <w:sz w:val="16"/>
          <w:szCs w:val="16"/>
        </w:rPr>
        <w:t xml:space="preserve"> Tabla de frecuencia del rezago</w:t>
      </w:r>
    </w:p>
    <w:tbl>
      <w:tblPr>
        <w:tblStyle w:val="Sombreadoclaro-nfasis1"/>
        <w:tblW w:w="9470" w:type="dxa"/>
        <w:tblLook w:val="04A0" w:firstRow="1" w:lastRow="0" w:firstColumn="1" w:lastColumn="0" w:noHBand="0" w:noVBand="1"/>
      </w:tblPr>
      <w:tblGrid>
        <w:gridCol w:w="2367"/>
        <w:gridCol w:w="2367"/>
        <w:gridCol w:w="2368"/>
        <w:gridCol w:w="2368"/>
      </w:tblGrid>
      <w:tr w:rsidR="00E745F8" w:rsidRPr="004110E4" w14:paraId="3D4515C4" w14:textId="77777777" w:rsidTr="00947664">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67" w:type="dxa"/>
          </w:tcPr>
          <w:p w14:paraId="57F28EDE" w14:textId="77777777" w:rsidR="00E745F8" w:rsidRPr="004110E4" w:rsidRDefault="00E745F8" w:rsidP="009F5B57">
            <w:pPr>
              <w:spacing w:line="360" w:lineRule="auto"/>
              <w:jc w:val="both"/>
              <w:rPr>
                <w:rFonts w:ascii="Times New Roman" w:hAnsi="Times New Roman" w:cs="Times New Roman"/>
                <w:sz w:val="16"/>
                <w:szCs w:val="16"/>
              </w:rPr>
            </w:pPr>
          </w:p>
        </w:tc>
        <w:tc>
          <w:tcPr>
            <w:tcW w:w="2367" w:type="dxa"/>
          </w:tcPr>
          <w:p w14:paraId="0F5FACFF" w14:textId="64E819F6" w:rsidR="00E745F8" w:rsidRPr="004110E4" w:rsidRDefault="00E745F8" w:rsidP="009F5B5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110E4">
              <w:rPr>
                <w:rFonts w:ascii="Times New Roman" w:hAnsi="Times New Roman" w:cs="Times New Roman"/>
                <w:sz w:val="16"/>
                <w:szCs w:val="16"/>
              </w:rPr>
              <w:t>Frecuencia</w:t>
            </w:r>
          </w:p>
        </w:tc>
        <w:tc>
          <w:tcPr>
            <w:tcW w:w="2368" w:type="dxa"/>
          </w:tcPr>
          <w:p w14:paraId="647C7E03" w14:textId="3738D0DA" w:rsidR="00E745F8" w:rsidRPr="004110E4" w:rsidRDefault="00E745F8" w:rsidP="009F5B5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110E4">
              <w:rPr>
                <w:rFonts w:ascii="Times New Roman" w:hAnsi="Times New Roman" w:cs="Times New Roman"/>
                <w:sz w:val="16"/>
                <w:szCs w:val="16"/>
              </w:rPr>
              <w:t>Relativa</w:t>
            </w:r>
          </w:p>
        </w:tc>
        <w:tc>
          <w:tcPr>
            <w:tcW w:w="2368" w:type="dxa"/>
          </w:tcPr>
          <w:p w14:paraId="16FB2EF4" w14:textId="19B116E9" w:rsidR="00E745F8" w:rsidRPr="004110E4" w:rsidRDefault="00E745F8" w:rsidP="009F5B5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110E4">
              <w:rPr>
                <w:rFonts w:ascii="Times New Roman" w:hAnsi="Times New Roman" w:cs="Times New Roman"/>
                <w:sz w:val="16"/>
                <w:szCs w:val="16"/>
              </w:rPr>
              <w:t>Acumulada</w:t>
            </w:r>
          </w:p>
        </w:tc>
      </w:tr>
      <w:tr w:rsidR="00E745F8" w:rsidRPr="004110E4" w14:paraId="37AFFB41" w14:textId="77777777" w:rsidTr="00947664">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367" w:type="dxa"/>
          </w:tcPr>
          <w:p w14:paraId="1E60D2DA" w14:textId="10F93A29" w:rsidR="00E745F8" w:rsidRPr="004110E4" w:rsidRDefault="00E745F8" w:rsidP="009F5B57">
            <w:pPr>
              <w:spacing w:line="360" w:lineRule="auto"/>
              <w:jc w:val="both"/>
              <w:rPr>
                <w:rFonts w:ascii="Times New Roman" w:hAnsi="Times New Roman" w:cs="Times New Roman"/>
                <w:sz w:val="16"/>
                <w:szCs w:val="16"/>
              </w:rPr>
            </w:pPr>
            <w:r w:rsidRPr="004110E4">
              <w:rPr>
                <w:rFonts w:ascii="Times New Roman" w:hAnsi="Times New Roman" w:cs="Times New Roman"/>
                <w:sz w:val="16"/>
                <w:szCs w:val="16"/>
              </w:rPr>
              <w:t>0(sin rezago)</w:t>
            </w:r>
          </w:p>
        </w:tc>
        <w:tc>
          <w:tcPr>
            <w:tcW w:w="2367" w:type="dxa"/>
          </w:tcPr>
          <w:p w14:paraId="0385B616" w14:textId="58D992FF" w:rsidR="00E745F8" w:rsidRPr="004110E4" w:rsidRDefault="00E745F8" w:rsidP="009F5B5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110E4">
              <w:rPr>
                <w:rFonts w:ascii="Times New Roman" w:hAnsi="Times New Roman" w:cs="Times New Roman"/>
                <w:sz w:val="16"/>
                <w:szCs w:val="16"/>
              </w:rPr>
              <w:t>5606</w:t>
            </w:r>
          </w:p>
        </w:tc>
        <w:tc>
          <w:tcPr>
            <w:tcW w:w="2368" w:type="dxa"/>
          </w:tcPr>
          <w:p w14:paraId="3BA72902" w14:textId="43F081D8" w:rsidR="00E745F8" w:rsidRPr="004110E4" w:rsidRDefault="00E745F8" w:rsidP="009F5B5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110E4">
              <w:rPr>
                <w:rFonts w:ascii="Times New Roman" w:hAnsi="Times New Roman" w:cs="Times New Roman"/>
                <w:sz w:val="16"/>
                <w:szCs w:val="16"/>
              </w:rPr>
              <w:t>39.51%</w:t>
            </w:r>
          </w:p>
        </w:tc>
        <w:tc>
          <w:tcPr>
            <w:tcW w:w="2368" w:type="dxa"/>
          </w:tcPr>
          <w:p w14:paraId="16DD025A" w14:textId="39C8A8B5" w:rsidR="00E745F8" w:rsidRPr="004110E4" w:rsidRDefault="00E745F8" w:rsidP="009F5B5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110E4">
              <w:rPr>
                <w:rFonts w:ascii="Times New Roman" w:hAnsi="Times New Roman" w:cs="Times New Roman"/>
                <w:sz w:val="16"/>
                <w:szCs w:val="16"/>
              </w:rPr>
              <w:t>39.51%</w:t>
            </w:r>
          </w:p>
        </w:tc>
      </w:tr>
      <w:tr w:rsidR="00E745F8" w:rsidRPr="004110E4" w14:paraId="5A72104C" w14:textId="77777777" w:rsidTr="00947664">
        <w:trPr>
          <w:trHeight w:val="168"/>
        </w:trPr>
        <w:tc>
          <w:tcPr>
            <w:cnfStyle w:val="001000000000" w:firstRow="0" w:lastRow="0" w:firstColumn="1" w:lastColumn="0" w:oddVBand="0" w:evenVBand="0" w:oddHBand="0" w:evenHBand="0" w:firstRowFirstColumn="0" w:firstRowLastColumn="0" w:lastRowFirstColumn="0" w:lastRowLastColumn="0"/>
            <w:tcW w:w="2367" w:type="dxa"/>
          </w:tcPr>
          <w:p w14:paraId="7546CE2B" w14:textId="36A271EC" w:rsidR="00E745F8" w:rsidRPr="004110E4" w:rsidRDefault="00E745F8" w:rsidP="009F5B57">
            <w:pPr>
              <w:spacing w:line="360" w:lineRule="auto"/>
              <w:jc w:val="both"/>
              <w:rPr>
                <w:rFonts w:ascii="Times New Roman" w:hAnsi="Times New Roman" w:cs="Times New Roman"/>
                <w:sz w:val="16"/>
                <w:szCs w:val="16"/>
              </w:rPr>
            </w:pPr>
            <w:r w:rsidRPr="004110E4">
              <w:rPr>
                <w:rFonts w:ascii="Times New Roman" w:hAnsi="Times New Roman" w:cs="Times New Roman"/>
                <w:sz w:val="16"/>
                <w:szCs w:val="16"/>
              </w:rPr>
              <w:t>1(rezagados)</w:t>
            </w:r>
          </w:p>
        </w:tc>
        <w:tc>
          <w:tcPr>
            <w:tcW w:w="2367" w:type="dxa"/>
          </w:tcPr>
          <w:p w14:paraId="3860347E" w14:textId="2DE92A10" w:rsidR="00E745F8" w:rsidRPr="004110E4" w:rsidRDefault="00E745F8" w:rsidP="009F5B5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110E4">
              <w:rPr>
                <w:rFonts w:ascii="Times New Roman" w:hAnsi="Times New Roman" w:cs="Times New Roman"/>
                <w:sz w:val="16"/>
                <w:szCs w:val="16"/>
              </w:rPr>
              <w:t>8582</w:t>
            </w:r>
          </w:p>
        </w:tc>
        <w:tc>
          <w:tcPr>
            <w:tcW w:w="2368" w:type="dxa"/>
          </w:tcPr>
          <w:p w14:paraId="5DCA9CC4" w14:textId="7CB22244" w:rsidR="00E745F8" w:rsidRPr="004110E4" w:rsidRDefault="00E745F8" w:rsidP="009F5B5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110E4">
              <w:rPr>
                <w:rFonts w:ascii="Times New Roman" w:hAnsi="Times New Roman" w:cs="Times New Roman"/>
                <w:sz w:val="16"/>
                <w:szCs w:val="16"/>
              </w:rPr>
              <w:t>60.49%</w:t>
            </w:r>
          </w:p>
        </w:tc>
        <w:tc>
          <w:tcPr>
            <w:tcW w:w="2368" w:type="dxa"/>
          </w:tcPr>
          <w:p w14:paraId="40ECE09F" w14:textId="61FD0D34" w:rsidR="00E745F8" w:rsidRPr="004110E4" w:rsidRDefault="00E745F8" w:rsidP="009F5B5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110E4">
              <w:rPr>
                <w:rFonts w:ascii="Times New Roman" w:hAnsi="Times New Roman" w:cs="Times New Roman"/>
                <w:sz w:val="16"/>
                <w:szCs w:val="16"/>
              </w:rPr>
              <w:t>100.00%</w:t>
            </w:r>
          </w:p>
        </w:tc>
      </w:tr>
    </w:tbl>
    <w:p w14:paraId="11851BA0" w14:textId="77777777" w:rsidR="00092431" w:rsidRPr="009F5B57" w:rsidRDefault="00092431" w:rsidP="009F5B57">
      <w:pPr>
        <w:spacing w:line="360" w:lineRule="auto"/>
        <w:jc w:val="both"/>
        <w:rPr>
          <w:rFonts w:ascii="Times New Roman" w:hAnsi="Times New Roman" w:cs="Times New Roman"/>
        </w:rPr>
      </w:pPr>
    </w:p>
    <w:p w14:paraId="72E27A67" w14:textId="77C7CAA6" w:rsidR="0075560C" w:rsidRPr="009F5B57" w:rsidRDefault="00E745F8" w:rsidP="00947664">
      <w:pPr>
        <w:spacing w:line="360" w:lineRule="auto"/>
        <w:ind w:firstLine="709"/>
        <w:jc w:val="both"/>
        <w:rPr>
          <w:rFonts w:ascii="Times New Roman" w:hAnsi="Times New Roman" w:cs="Times New Roman"/>
        </w:rPr>
      </w:pPr>
      <w:r w:rsidRPr="009F5B57">
        <w:rPr>
          <w:rFonts w:ascii="Times New Roman" w:hAnsi="Times New Roman" w:cs="Times New Roman"/>
        </w:rPr>
        <w:lastRenderedPageBreak/>
        <w:t>14</w:t>
      </w:r>
      <w:r w:rsidR="004110E4">
        <w:rPr>
          <w:rFonts w:ascii="Times New Roman" w:hAnsi="Times New Roman" w:cs="Times New Roman"/>
        </w:rPr>
        <w:t xml:space="preserve"> </w:t>
      </w:r>
      <w:r w:rsidRPr="009F5B57">
        <w:rPr>
          <w:rFonts w:ascii="Times New Roman" w:hAnsi="Times New Roman" w:cs="Times New Roman"/>
        </w:rPr>
        <w:t>188</w:t>
      </w:r>
      <w:r w:rsidR="0075560C" w:rsidRPr="009F5B57">
        <w:rPr>
          <w:rFonts w:ascii="Times New Roman" w:hAnsi="Times New Roman" w:cs="Times New Roman"/>
        </w:rPr>
        <w:t xml:space="preserve"> fueron el total de personas de la muestra y de esas el 71.77% asiste a la escuela, mientras que el 28</w:t>
      </w:r>
      <w:r w:rsidR="00F703BD" w:rsidRPr="009F5B57">
        <w:rPr>
          <w:rFonts w:ascii="Times New Roman" w:hAnsi="Times New Roman" w:cs="Times New Roman"/>
        </w:rPr>
        <w:t>.23% no asiste, esta información se ve reflejada en la siguiente tab</w:t>
      </w:r>
      <w:r w:rsidR="00B8729E" w:rsidRPr="009F5B57">
        <w:rPr>
          <w:rFonts w:ascii="Times New Roman" w:hAnsi="Times New Roman" w:cs="Times New Roman"/>
        </w:rPr>
        <w:t>la</w:t>
      </w:r>
      <w:r w:rsidR="00F703BD" w:rsidRPr="009F5B57">
        <w:rPr>
          <w:rFonts w:ascii="Times New Roman" w:hAnsi="Times New Roman" w:cs="Times New Roman"/>
        </w:rPr>
        <w:t>.</w:t>
      </w:r>
    </w:p>
    <w:p w14:paraId="1B26ACA9" w14:textId="2D71EBD4" w:rsidR="00ED0C28" w:rsidRPr="004110E4" w:rsidRDefault="0075560C" w:rsidP="009F5B57">
      <w:pPr>
        <w:spacing w:line="360" w:lineRule="auto"/>
        <w:ind w:left="160"/>
        <w:rPr>
          <w:rFonts w:ascii="Times New Roman" w:hAnsi="Times New Roman" w:cs="Times New Roman"/>
          <w:b/>
          <w:sz w:val="16"/>
          <w:szCs w:val="16"/>
        </w:rPr>
      </w:pPr>
      <w:r w:rsidRPr="004110E4">
        <w:rPr>
          <w:rFonts w:ascii="Times New Roman" w:hAnsi="Times New Roman" w:cs="Times New Roman"/>
          <w:b/>
          <w:sz w:val="16"/>
          <w:szCs w:val="16"/>
        </w:rPr>
        <w:t>Tabla 6.</w:t>
      </w:r>
      <w:r w:rsidR="0009257E" w:rsidRPr="004110E4">
        <w:rPr>
          <w:rFonts w:ascii="Times New Roman" w:hAnsi="Times New Roman" w:cs="Times New Roman"/>
          <w:b/>
          <w:sz w:val="16"/>
          <w:szCs w:val="16"/>
        </w:rPr>
        <w:t xml:space="preserve"> Tabla de frecuencia asistencia</w:t>
      </w:r>
    </w:p>
    <w:tbl>
      <w:tblPr>
        <w:tblStyle w:val="Sombreadoclaro-nfasis1"/>
        <w:tblW w:w="0" w:type="auto"/>
        <w:tblLook w:val="04A0" w:firstRow="1" w:lastRow="0" w:firstColumn="1" w:lastColumn="0" w:noHBand="0" w:noVBand="1"/>
      </w:tblPr>
      <w:tblGrid>
        <w:gridCol w:w="2943"/>
        <w:gridCol w:w="2127"/>
        <w:gridCol w:w="2268"/>
        <w:gridCol w:w="1640"/>
      </w:tblGrid>
      <w:tr w:rsidR="00E745F8" w:rsidRPr="004110E4" w14:paraId="7F2333DE" w14:textId="77777777" w:rsidTr="00E745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73AE8EEE" w14:textId="77777777" w:rsidR="00E745F8" w:rsidRPr="004110E4" w:rsidRDefault="00E745F8" w:rsidP="009F5B57">
            <w:pPr>
              <w:spacing w:line="360" w:lineRule="auto"/>
              <w:jc w:val="both"/>
              <w:rPr>
                <w:rFonts w:ascii="Times New Roman" w:hAnsi="Times New Roman" w:cs="Times New Roman"/>
                <w:sz w:val="16"/>
                <w:szCs w:val="16"/>
              </w:rPr>
            </w:pPr>
          </w:p>
        </w:tc>
        <w:tc>
          <w:tcPr>
            <w:tcW w:w="2127" w:type="dxa"/>
          </w:tcPr>
          <w:p w14:paraId="0AAE2731" w14:textId="341BE746" w:rsidR="00E745F8" w:rsidRPr="004110E4" w:rsidRDefault="00E745F8" w:rsidP="009F5B5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110E4">
              <w:rPr>
                <w:rFonts w:ascii="Times New Roman" w:hAnsi="Times New Roman" w:cs="Times New Roman"/>
                <w:sz w:val="16"/>
                <w:szCs w:val="16"/>
              </w:rPr>
              <w:t>Frecuencia</w:t>
            </w:r>
          </w:p>
        </w:tc>
        <w:tc>
          <w:tcPr>
            <w:tcW w:w="2268" w:type="dxa"/>
          </w:tcPr>
          <w:p w14:paraId="56223779" w14:textId="2D842F63" w:rsidR="00E745F8" w:rsidRPr="004110E4" w:rsidRDefault="00E745F8" w:rsidP="009F5B5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110E4">
              <w:rPr>
                <w:rFonts w:ascii="Times New Roman" w:hAnsi="Times New Roman" w:cs="Times New Roman"/>
                <w:sz w:val="16"/>
                <w:szCs w:val="16"/>
              </w:rPr>
              <w:t>Relativa</w:t>
            </w:r>
          </w:p>
        </w:tc>
        <w:tc>
          <w:tcPr>
            <w:tcW w:w="1640" w:type="dxa"/>
          </w:tcPr>
          <w:p w14:paraId="79B71164" w14:textId="431AC354" w:rsidR="00E745F8" w:rsidRPr="004110E4" w:rsidRDefault="00E745F8" w:rsidP="009F5B5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110E4">
              <w:rPr>
                <w:rFonts w:ascii="Times New Roman" w:hAnsi="Times New Roman" w:cs="Times New Roman"/>
                <w:sz w:val="16"/>
                <w:szCs w:val="16"/>
              </w:rPr>
              <w:t>Acumulada</w:t>
            </w:r>
          </w:p>
        </w:tc>
      </w:tr>
      <w:tr w:rsidR="00E745F8" w:rsidRPr="004110E4" w14:paraId="36E68093" w14:textId="77777777" w:rsidTr="00E74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0489C64F" w14:textId="74C44999" w:rsidR="00E745F8" w:rsidRPr="004110E4" w:rsidRDefault="00E745F8" w:rsidP="009F5B57">
            <w:pPr>
              <w:spacing w:line="360" w:lineRule="auto"/>
              <w:jc w:val="both"/>
              <w:rPr>
                <w:rFonts w:ascii="Times New Roman" w:hAnsi="Times New Roman" w:cs="Times New Roman"/>
                <w:sz w:val="16"/>
                <w:szCs w:val="16"/>
              </w:rPr>
            </w:pPr>
            <w:r w:rsidRPr="004110E4">
              <w:rPr>
                <w:rFonts w:ascii="Times New Roman" w:hAnsi="Times New Roman" w:cs="Times New Roman"/>
                <w:sz w:val="16"/>
                <w:szCs w:val="16"/>
              </w:rPr>
              <w:t>0 (no va a la escuela)</w:t>
            </w:r>
          </w:p>
        </w:tc>
        <w:tc>
          <w:tcPr>
            <w:tcW w:w="2127" w:type="dxa"/>
          </w:tcPr>
          <w:p w14:paraId="34898583" w14:textId="51214034" w:rsidR="00E745F8" w:rsidRPr="004110E4" w:rsidRDefault="0057458D" w:rsidP="009F5B5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110E4">
              <w:rPr>
                <w:rFonts w:ascii="Times New Roman" w:hAnsi="Times New Roman" w:cs="Times New Roman"/>
                <w:sz w:val="16"/>
                <w:szCs w:val="16"/>
              </w:rPr>
              <w:t>2232</w:t>
            </w:r>
          </w:p>
        </w:tc>
        <w:tc>
          <w:tcPr>
            <w:tcW w:w="2268" w:type="dxa"/>
          </w:tcPr>
          <w:p w14:paraId="1AD3D101" w14:textId="13498065" w:rsidR="00E745F8" w:rsidRPr="004110E4" w:rsidRDefault="0057458D" w:rsidP="009F5B5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110E4">
              <w:rPr>
                <w:rFonts w:ascii="Times New Roman" w:hAnsi="Times New Roman" w:cs="Times New Roman"/>
                <w:sz w:val="16"/>
                <w:szCs w:val="16"/>
              </w:rPr>
              <w:t>28.23</w:t>
            </w:r>
            <w:r w:rsidR="00E745F8" w:rsidRPr="004110E4">
              <w:rPr>
                <w:rFonts w:ascii="Times New Roman" w:hAnsi="Times New Roman" w:cs="Times New Roman"/>
                <w:sz w:val="16"/>
                <w:szCs w:val="16"/>
              </w:rPr>
              <w:t>%</w:t>
            </w:r>
          </w:p>
        </w:tc>
        <w:tc>
          <w:tcPr>
            <w:tcW w:w="1640" w:type="dxa"/>
          </w:tcPr>
          <w:p w14:paraId="4B05C1BE" w14:textId="747061B6" w:rsidR="00E745F8" w:rsidRPr="004110E4" w:rsidRDefault="0057458D" w:rsidP="009F5B5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110E4">
              <w:rPr>
                <w:rFonts w:ascii="Times New Roman" w:hAnsi="Times New Roman" w:cs="Times New Roman"/>
                <w:sz w:val="16"/>
                <w:szCs w:val="16"/>
              </w:rPr>
              <w:t>28.23</w:t>
            </w:r>
            <w:r w:rsidR="00E745F8" w:rsidRPr="004110E4">
              <w:rPr>
                <w:rFonts w:ascii="Times New Roman" w:hAnsi="Times New Roman" w:cs="Times New Roman"/>
                <w:sz w:val="16"/>
                <w:szCs w:val="16"/>
              </w:rPr>
              <w:t>%</w:t>
            </w:r>
          </w:p>
        </w:tc>
      </w:tr>
      <w:tr w:rsidR="00E745F8" w:rsidRPr="004110E4" w14:paraId="212218BE" w14:textId="77777777" w:rsidTr="00E745F8">
        <w:tc>
          <w:tcPr>
            <w:cnfStyle w:val="001000000000" w:firstRow="0" w:lastRow="0" w:firstColumn="1" w:lastColumn="0" w:oddVBand="0" w:evenVBand="0" w:oddHBand="0" w:evenHBand="0" w:firstRowFirstColumn="0" w:firstRowLastColumn="0" w:lastRowFirstColumn="0" w:lastRowLastColumn="0"/>
            <w:tcW w:w="2943" w:type="dxa"/>
          </w:tcPr>
          <w:p w14:paraId="43DF461E" w14:textId="29487BDA" w:rsidR="00E745F8" w:rsidRPr="004110E4" w:rsidRDefault="00E745F8" w:rsidP="009F5B57">
            <w:pPr>
              <w:spacing w:line="360" w:lineRule="auto"/>
              <w:jc w:val="both"/>
              <w:rPr>
                <w:rFonts w:ascii="Times New Roman" w:hAnsi="Times New Roman" w:cs="Times New Roman"/>
                <w:sz w:val="16"/>
                <w:szCs w:val="16"/>
              </w:rPr>
            </w:pPr>
            <w:r w:rsidRPr="004110E4">
              <w:rPr>
                <w:rFonts w:ascii="Times New Roman" w:hAnsi="Times New Roman" w:cs="Times New Roman"/>
                <w:sz w:val="16"/>
                <w:szCs w:val="16"/>
              </w:rPr>
              <w:t>1 (asiste a la escuela)</w:t>
            </w:r>
          </w:p>
        </w:tc>
        <w:tc>
          <w:tcPr>
            <w:tcW w:w="2127" w:type="dxa"/>
          </w:tcPr>
          <w:p w14:paraId="6791C802" w14:textId="2A4F6CE1" w:rsidR="00E745F8" w:rsidRPr="004110E4" w:rsidRDefault="0057458D" w:rsidP="009F5B5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110E4">
              <w:rPr>
                <w:rFonts w:ascii="Times New Roman" w:hAnsi="Times New Roman" w:cs="Times New Roman"/>
                <w:sz w:val="16"/>
                <w:szCs w:val="16"/>
              </w:rPr>
              <w:t>5675</w:t>
            </w:r>
          </w:p>
        </w:tc>
        <w:tc>
          <w:tcPr>
            <w:tcW w:w="2268" w:type="dxa"/>
          </w:tcPr>
          <w:p w14:paraId="5EB2F022" w14:textId="46463584" w:rsidR="00E745F8" w:rsidRPr="004110E4" w:rsidRDefault="0057458D" w:rsidP="009F5B5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110E4">
              <w:rPr>
                <w:rFonts w:ascii="Times New Roman" w:hAnsi="Times New Roman" w:cs="Times New Roman"/>
                <w:sz w:val="16"/>
                <w:szCs w:val="16"/>
              </w:rPr>
              <w:t>71.77</w:t>
            </w:r>
            <w:r w:rsidR="00E745F8" w:rsidRPr="004110E4">
              <w:rPr>
                <w:rFonts w:ascii="Times New Roman" w:hAnsi="Times New Roman" w:cs="Times New Roman"/>
                <w:sz w:val="16"/>
                <w:szCs w:val="16"/>
              </w:rPr>
              <w:t>%</w:t>
            </w:r>
          </w:p>
        </w:tc>
        <w:tc>
          <w:tcPr>
            <w:tcW w:w="1640" w:type="dxa"/>
          </w:tcPr>
          <w:p w14:paraId="11B3286A" w14:textId="7AABCA74" w:rsidR="00E745F8" w:rsidRPr="004110E4" w:rsidRDefault="00E745F8" w:rsidP="009F5B5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110E4">
              <w:rPr>
                <w:rFonts w:ascii="Times New Roman" w:hAnsi="Times New Roman" w:cs="Times New Roman"/>
                <w:sz w:val="16"/>
                <w:szCs w:val="16"/>
              </w:rPr>
              <w:t>100.00%</w:t>
            </w:r>
          </w:p>
        </w:tc>
      </w:tr>
    </w:tbl>
    <w:p w14:paraId="2043CA75" w14:textId="77777777" w:rsidR="001E2A56" w:rsidRPr="009F5B57" w:rsidRDefault="001E2A56" w:rsidP="009F5B57">
      <w:pPr>
        <w:spacing w:line="360" w:lineRule="auto"/>
        <w:rPr>
          <w:rFonts w:ascii="Times New Roman" w:hAnsi="Times New Roman" w:cs="Times New Roman"/>
        </w:rPr>
      </w:pPr>
    </w:p>
    <w:p w14:paraId="3AA9DD13" w14:textId="3C7DDEC4" w:rsidR="0046565A" w:rsidRPr="004110E4" w:rsidRDefault="00876E32" w:rsidP="004110E4">
      <w:pPr>
        <w:spacing w:line="360" w:lineRule="auto"/>
        <w:rPr>
          <w:rFonts w:ascii="Times New Roman" w:hAnsi="Times New Roman" w:cs="Times New Roman"/>
          <w:b/>
        </w:rPr>
      </w:pPr>
      <w:r w:rsidRPr="009F5B57">
        <w:rPr>
          <w:rFonts w:ascii="Times New Roman" w:hAnsi="Times New Roman" w:cs="Times New Roman"/>
          <w:b/>
        </w:rPr>
        <w:t>Cap</w:t>
      </w:r>
      <w:r w:rsidR="00DD0C9A" w:rsidRPr="009F5B57">
        <w:rPr>
          <w:rFonts w:ascii="Times New Roman" w:hAnsi="Times New Roman" w:cs="Times New Roman"/>
          <w:b/>
        </w:rPr>
        <w:t>ítulo</w:t>
      </w:r>
      <w:r w:rsidRPr="009F5B57">
        <w:rPr>
          <w:rFonts w:ascii="Times New Roman" w:hAnsi="Times New Roman" w:cs="Times New Roman"/>
          <w:b/>
        </w:rPr>
        <w:t xml:space="preserve"> 4</w:t>
      </w:r>
      <w:r w:rsidR="007B4266">
        <w:rPr>
          <w:rFonts w:ascii="Times New Roman" w:hAnsi="Times New Roman" w:cs="Times New Roman"/>
          <w:b/>
        </w:rPr>
        <w:t xml:space="preserve"> Modelo</w:t>
      </w:r>
    </w:p>
    <w:p w14:paraId="1BC57CBF" w14:textId="5C1A1D3D" w:rsidR="0046565A" w:rsidRPr="00947664" w:rsidRDefault="00876E32" w:rsidP="009F5B57">
      <w:pPr>
        <w:spacing w:line="360" w:lineRule="auto"/>
        <w:rPr>
          <w:rFonts w:ascii="Times New Roman" w:hAnsi="Times New Roman" w:cs="Times New Roman"/>
          <w:i/>
        </w:rPr>
      </w:pPr>
      <w:r w:rsidRPr="009F5B57">
        <w:rPr>
          <w:rFonts w:ascii="Times New Roman" w:hAnsi="Times New Roman" w:cs="Times New Roman"/>
        </w:rPr>
        <w:t xml:space="preserve">            </w:t>
      </w:r>
      <w:r w:rsidRPr="00947664">
        <w:rPr>
          <w:rFonts w:ascii="Times New Roman" w:hAnsi="Times New Roman" w:cs="Times New Roman"/>
          <w:i/>
        </w:rPr>
        <w:t xml:space="preserve">   4</w:t>
      </w:r>
      <w:r w:rsidR="0046565A" w:rsidRPr="00947664">
        <w:rPr>
          <w:rFonts w:ascii="Times New Roman" w:hAnsi="Times New Roman" w:cs="Times New Roman"/>
          <w:i/>
        </w:rPr>
        <w:t>.1 Teoría del modelo econométrico</w:t>
      </w:r>
    </w:p>
    <w:p w14:paraId="68F4F316" w14:textId="501C3960" w:rsidR="003B2E43" w:rsidRPr="009F5B57" w:rsidRDefault="0046565A" w:rsidP="004110E4">
      <w:pPr>
        <w:pStyle w:val="NormalWeb"/>
        <w:spacing w:line="360" w:lineRule="auto"/>
        <w:ind w:firstLine="709"/>
        <w:jc w:val="both"/>
        <w:rPr>
          <w:rFonts w:ascii="Times New Roman" w:hAnsi="Times New Roman"/>
          <w:sz w:val="24"/>
          <w:szCs w:val="24"/>
        </w:rPr>
      </w:pPr>
      <w:r w:rsidRPr="009F5B57">
        <w:rPr>
          <w:rFonts w:ascii="Times New Roman" w:hAnsi="Times New Roman"/>
          <w:sz w:val="24"/>
          <w:szCs w:val="24"/>
        </w:rPr>
        <w:t>Un modelo de regresión lineal clásico no resulta ser una buena aproximación en la explicació</w:t>
      </w:r>
      <w:r w:rsidR="006E5929" w:rsidRPr="009F5B57">
        <w:rPr>
          <w:rFonts w:ascii="Times New Roman" w:hAnsi="Times New Roman"/>
          <w:sz w:val="24"/>
          <w:szCs w:val="24"/>
        </w:rPr>
        <w:t>n y análisis de nuestro e</w:t>
      </w:r>
      <w:r w:rsidR="004110E4">
        <w:rPr>
          <w:rFonts w:ascii="Times New Roman" w:hAnsi="Times New Roman"/>
          <w:sz w:val="24"/>
          <w:szCs w:val="24"/>
        </w:rPr>
        <w:t>studio,</w:t>
      </w:r>
      <w:r w:rsidR="006E5929" w:rsidRPr="009F5B57">
        <w:rPr>
          <w:rFonts w:ascii="Times New Roman" w:hAnsi="Times New Roman"/>
          <w:sz w:val="24"/>
          <w:szCs w:val="24"/>
        </w:rPr>
        <w:t xml:space="preserve"> </w:t>
      </w:r>
      <w:r w:rsidR="004110E4">
        <w:rPr>
          <w:rFonts w:ascii="Times New Roman" w:hAnsi="Times New Roman"/>
          <w:sz w:val="24"/>
          <w:szCs w:val="24"/>
        </w:rPr>
        <w:t xml:space="preserve"> además es posible</w:t>
      </w:r>
      <w:r w:rsidR="006E5929" w:rsidRPr="009F5B57">
        <w:rPr>
          <w:rFonts w:ascii="Times New Roman" w:hAnsi="Times New Roman"/>
          <w:sz w:val="24"/>
          <w:szCs w:val="24"/>
        </w:rPr>
        <w:t xml:space="preserve"> que los datos presenten problemas de </w:t>
      </w:r>
      <w:proofErr w:type="spellStart"/>
      <w:r w:rsidR="006E5929" w:rsidRPr="009F5B57">
        <w:rPr>
          <w:rFonts w:ascii="Times New Roman" w:hAnsi="Times New Roman"/>
          <w:sz w:val="24"/>
          <w:szCs w:val="24"/>
        </w:rPr>
        <w:t>heteroscedasticidad</w:t>
      </w:r>
      <w:proofErr w:type="spellEnd"/>
      <w:r w:rsidR="006E5929" w:rsidRPr="009F5B57">
        <w:rPr>
          <w:rFonts w:ascii="Times New Roman" w:hAnsi="Times New Roman"/>
          <w:sz w:val="24"/>
          <w:szCs w:val="24"/>
        </w:rPr>
        <w:t xml:space="preserve"> y que los errores no sigan una distribución normal. Todo esto impide la correcta interpretación</w:t>
      </w:r>
      <w:r w:rsidR="008062FB" w:rsidRPr="009F5B57">
        <w:rPr>
          <w:rFonts w:ascii="Times New Roman" w:hAnsi="Times New Roman"/>
          <w:sz w:val="24"/>
          <w:szCs w:val="24"/>
        </w:rPr>
        <w:t xml:space="preserve"> </w:t>
      </w:r>
      <w:r w:rsidR="006E5929" w:rsidRPr="009F5B57">
        <w:rPr>
          <w:rFonts w:ascii="Times New Roman" w:hAnsi="Times New Roman"/>
          <w:sz w:val="24"/>
          <w:szCs w:val="24"/>
        </w:rPr>
        <w:t>de los resultados. Por esta utilizamos un modelo no lineal de elección binaria del tipo LOGIT</w:t>
      </w:r>
      <w:r w:rsidR="006E5929" w:rsidRPr="009F5B57">
        <w:rPr>
          <w:rStyle w:val="Refdenotaalpie"/>
          <w:rFonts w:ascii="Times New Roman" w:hAnsi="Times New Roman"/>
          <w:sz w:val="24"/>
          <w:szCs w:val="24"/>
        </w:rPr>
        <w:footnoteReference w:id="1"/>
      </w:r>
      <w:r w:rsidR="004110E4">
        <w:rPr>
          <w:rFonts w:ascii="Times New Roman" w:hAnsi="Times New Roman"/>
          <w:sz w:val="24"/>
          <w:szCs w:val="24"/>
        </w:rPr>
        <w:t xml:space="preserve"> ya que se centra en el caso en el que la variable dependiente es una variable dicotómica.</w:t>
      </w:r>
    </w:p>
    <w:p w14:paraId="3C4C2D7B" w14:textId="4B69E1A3" w:rsidR="00A13677" w:rsidRPr="00947664" w:rsidRDefault="00876E32" w:rsidP="004110E4">
      <w:pPr>
        <w:spacing w:line="360" w:lineRule="auto"/>
        <w:ind w:left="993"/>
        <w:rPr>
          <w:rFonts w:ascii="Times New Roman" w:hAnsi="Times New Roman" w:cs="Times New Roman"/>
          <w:i/>
        </w:rPr>
      </w:pPr>
      <w:r w:rsidRPr="00947664">
        <w:rPr>
          <w:rFonts w:ascii="Times New Roman" w:hAnsi="Times New Roman" w:cs="Times New Roman"/>
          <w:i/>
        </w:rPr>
        <w:t>4</w:t>
      </w:r>
      <w:bookmarkStart w:id="0" w:name="_GoBack"/>
      <w:bookmarkEnd w:id="0"/>
      <w:r w:rsidR="006375D2" w:rsidRPr="00947664">
        <w:rPr>
          <w:rFonts w:ascii="Times New Roman" w:hAnsi="Times New Roman" w:cs="Times New Roman"/>
          <w:i/>
        </w:rPr>
        <w:t>.2 Nuestro modelo</w:t>
      </w:r>
    </w:p>
    <w:p w14:paraId="2CBBD5E7" w14:textId="2FD83C06" w:rsidR="00A13677" w:rsidRPr="009F5B57" w:rsidRDefault="00A13677" w:rsidP="009F5B57">
      <w:pPr>
        <w:pStyle w:val="NormalWeb"/>
        <w:spacing w:line="360" w:lineRule="auto"/>
        <w:ind w:firstLine="709"/>
        <w:jc w:val="both"/>
        <w:rPr>
          <w:rFonts w:ascii="Times New Roman" w:hAnsi="Times New Roman"/>
          <w:sz w:val="24"/>
          <w:szCs w:val="24"/>
        </w:rPr>
      </w:pPr>
      <w:r w:rsidRPr="009F5B57">
        <w:rPr>
          <w:rFonts w:ascii="Times New Roman" w:hAnsi="Times New Roman"/>
          <w:sz w:val="24"/>
          <w:szCs w:val="24"/>
        </w:rPr>
        <w:t xml:space="preserve">Para comenzar, se eliminó del estudio a todas las mujeres embarazadas para no sesgar los resultados. Esto es porque las mujeres son más propensas a tener anemia durante el periodo de gestación (además de que el embarazo es per se una causa directa de la deserción o rezago escolar. Esto ultimo podría causar problemas de </w:t>
      </w:r>
      <w:proofErr w:type="spellStart"/>
      <w:r w:rsidRPr="009F5B57">
        <w:rPr>
          <w:rFonts w:ascii="Times New Roman" w:hAnsi="Times New Roman"/>
          <w:sz w:val="24"/>
          <w:szCs w:val="24"/>
        </w:rPr>
        <w:t>endogeneidad</w:t>
      </w:r>
      <w:proofErr w:type="spellEnd"/>
      <w:r w:rsidRPr="009F5B57">
        <w:rPr>
          <w:rFonts w:ascii="Times New Roman" w:hAnsi="Times New Roman"/>
          <w:sz w:val="24"/>
          <w:szCs w:val="24"/>
        </w:rPr>
        <w:t xml:space="preserve"> –</w:t>
      </w:r>
      <w:proofErr w:type="spellStart"/>
      <w:r w:rsidRPr="009F5B57">
        <w:rPr>
          <w:rFonts w:ascii="Times New Roman" w:hAnsi="Times New Roman"/>
          <w:sz w:val="24"/>
          <w:szCs w:val="24"/>
        </w:rPr>
        <w:t>regresores</w:t>
      </w:r>
      <w:proofErr w:type="spellEnd"/>
      <w:r w:rsidRPr="009F5B57">
        <w:rPr>
          <w:rFonts w:ascii="Times New Roman" w:hAnsi="Times New Roman"/>
          <w:sz w:val="24"/>
          <w:szCs w:val="24"/>
        </w:rPr>
        <w:t xml:space="preserve"> relacionados con el error</w:t>
      </w:r>
      <w:r w:rsidRPr="009F5B57">
        <w:rPr>
          <w:rFonts w:ascii="Times New Roman" w:hAnsi="Times New Roman"/>
          <w:sz w:val="24"/>
          <w:szCs w:val="24"/>
          <w:lang w:val="es-ES"/>
        </w:rPr>
        <w:t>).</w:t>
      </w:r>
    </w:p>
    <w:p w14:paraId="4AFD1325" w14:textId="53C65F6A" w:rsidR="00A13677" w:rsidRPr="009F5B57" w:rsidRDefault="00A13677" w:rsidP="00947664">
      <w:pPr>
        <w:pStyle w:val="NormalWeb"/>
        <w:spacing w:line="360" w:lineRule="auto"/>
        <w:ind w:firstLine="709"/>
        <w:jc w:val="both"/>
        <w:rPr>
          <w:rFonts w:ascii="Times New Roman" w:hAnsi="Times New Roman"/>
          <w:sz w:val="24"/>
          <w:szCs w:val="24"/>
        </w:rPr>
      </w:pPr>
      <w:r w:rsidRPr="009F5B57">
        <w:rPr>
          <w:rFonts w:ascii="Times New Roman" w:hAnsi="Times New Roman"/>
          <w:sz w:val="24"/>
          <w:szCs w:val="24"/>
        </w:rPr>
        <w:t>Las variables se separaron de tal forma que pudiéramos crear en su mayoría variables dicotómicas, es decir, que tomaran el valor de 1 y 0  un ejemplo de esto es la edad, la variable original “edad” se separó por años</w:t>
      </w:r>
      <w:r w:rsidR="00F703BD" w:rsidRPr="009F5B57">
        <w:rPr>
          <w:rFonts w:ascii="Times New Roman" w:hAnsi="Times New Roman"/>
          <w:sz w:val="24"/>
          <w:szCs w:val="24"/>
        </w:rPr>
        <w:t xml:space="preserve">, 12, 13, 14, etc. </w:t>
      </w:r>
      <w:r w:rsidRPr="009F5B57">
        <w:rPr>
          <w:rFonts w:ascii="Times New Roman" w:hAnsi="Times New Roman"/>
          <w:sz w:val="24"/>
          <w:szCs w:val="24"/>
        </w:rPr>
        <w:t xml:space="preserve">Esto se hizo para poder tener información más concreta a la hora de la interpretación y ver si había un grupo determinado en donde se observara un efecto mayor respecto a la asistencia y el rezago; lo que se hizo con esa variable, se hizo con las demás haciendo excepciones en la variable </w:t>
      </w:r>
      <w:r w:rsidRPr="009F5B57">
        <w:rPr>
          <w:rFonts w:ascii="Times New Roman" w:hAnsi="Times New Roman"/>
          <w:sz w:val="24"/>
          <w:szCs w:val="24"/>
        </w:rPr>
        <w:lastRenderedPageBreak/>
        <w:t>horas de trabajo y nivel de estudio de los padres.</w:t>
      </w:r>
      <w:r w:rsidR="00947664">
        <w:rPr>
          <w:rFonts w:ascii="Times New Roman" w:hAnsi="Times New Roman"/>
          <w:sz w:val="24"/>
          <w:szCs w:val="24"/>
        </w:rPr>
        <w:t xml:space="preserve"> </w:t>
      </w:r>
      <w:r w:rsidRPr="009F5B57">
        <w:rPr>
          <w:rFonts w:ascii="Times New Roman" w:hAnsi="Times New Roman"/>
          <w:sz w:val="24"/>
          <w:szCs w:val="24"/>
        </w:rPr>
        <w:t xml:space="preserve">Otro punto importante, es que se incluyeron n-1 </w:t>
      </w:r>
      <w:proofErr w:type="spellStart"/>
      <w:r w:rsidRPr="009F5B57">
        <w:rPr>
          <w:rFonts w:ascii="Times New Roman" w:hAnsi="Times New Roman"/>
          <w:sz w:val="24"/>
          <w:szCs w:val="24"/>
        </w:rPr>
        <w:t>dummies</w:t>
      </w:r>
      <w:proofErr w:type="spellEnd"/>
      <w:r w:rsidR="004110E4">
        <w:rPr>
          <w:rFonts w:ascii="Times New Roman" w:hAnsi="Times New Roman"/>
          <w:sz w:val="24"/>
          <w:szCs w:val="24"/>
        </w:rPr>
        <w:t xml:space="preserve"> </w:t>
      </w:r>
      <w:r w:rsidR="00BC565A" w:rsidRPr="009F5B57">
        <w:rPr>
          <w:rFonts w:ascii="Times New Roman" w:hAnsi="Times New Roman"/>
          <w:sz w:val="24"/>
          <w:szCs w:val="24"/>
        </w:rPr>
        <w:t>, esto se hizo para tener un punto de referencia.</w:t>
      </w:r>
    </w:p>
    <w:p w14:paraId="411E51F4" w14:textId="2A06A10E" w:rsidR="0046565A" w:rsidRPr="009F5B57" w:rsidRDefault="00271FB7" w:rsidP="009F5B57">
      <w:pPr>
        <w:pStyle w:val="NormalWeb"/>
        <w:spacing w:line="360" w:lineRule="auto"/>
        <w:ind w:firstLine="709"/>
        <w:jc w:val="both"/>
        <w:rPr>
          <w:rFonts w:ascii="Times New Roman" w:hAnsi="Times New Roman"/>
          <w:sz w:val="24"/>
          <w:szCs w:val="24"/>
        </w:rPr>
      </w:pPr>
      <w:r w:rsidRPr="009F5B57">
        <w:rPr>
          <w:rFonts w:ascii="Times New Roman" w:hAnsi="Times New Roman"/>
          <w:sz w:val="24"/>
          <w:szCs w:val="24"/>
        </w:rPr>
        <w:t xml:space="preserve">Se dividieron </w:t>
      </w:r>
      <w:r w:rsidR="0046565A" w:rsidRPr="009F5B57">
        <w:rPr>
          <w:rFonts w:ascii="Times New Roman" w:hAnsi="Times New Roman"/>
          <w:sz w:val="24"/>
          <w:szCs w:val="24"/>
        </w:rPr>
        <w:t>las regresiones de la siguiente manera:</w:t>
      </w:r>
    </w:p>
    <w:p w14:paraId="433AE1E5" w14:textId="77777777" w:rsidR="0046565A" w:rsidRPr="009F5B57" w:rsidRDefault="0046565A" w:rsidP="009F5B57">
      <w:pPr>
        <w:pStyle w:val="NormalWeb"/>
        <w:numPr>
          <w:ilvl w:val="0"/>
          <w:numId w:val="9"/>
        </w:numPr>
        <w:spacing w:line="360" w:lineRule="auto"/>
        <w:ind w:firstLine="709"/>
        <w:jc w:val="both"/>
        <w:rPr>
          <w:rFonts w:ascii="Times New Roman" w:hAnsi="Times New Roman"/>
          <w:sz w:val="24"/>
          <w:szCs w:val="24"/>
        </w:rPr>
      </w:pPr>
      <w:r w:rsidRPr="009F5B57">
        <w:rPr>
          <w:rFonts w:ascii="Times New Roman" w:hAnsi="Times New Roman"/>
          <w:sz w:val="24"/>
          <w:szCs w:val="24"/>
        </w:rPr>
        <w:t xml:space="preserve">Asistencia a la escuela como variable dependiente: se tomó la asistencia a la escuela como variable dependiente y se hicieron 3 tipos distintos de regresiones </w:t>
      </w:r>
    </w:p>
    <w:p w14:paraId="02FCDB36" w14:textId="70E09FF3" w:rsidR="00D72C4C" w:rsidRPr="009F5B57" w:rsidRDefault="0046565A" w:rsidP="009F5B57">
      <w:pPr>
        <w:pStyle w:val="NormalWeb"/>
        <w:numPr>
          <w:ilvl w:val="5"/>
          <w:numId w:val="11"/>
        </w:numPr>
        <w:spacing w:line="360" w:lineRule="auto"/>
        <w:jc w:val="both"/>
        <w:rPr>
          <w:rFonts w:ascii="Times New Roman" w:hAnsi="Times New Roman"/>
          <w:sz w:val="24"/>
          <w:szCs w:val="24"/>
        </w:rPr>
      </w:pPr>
      <w:r w:rsidRPr="009F5B57">
        <w:rPr>
          <w:rFonts w:ascii="Times New Roman" w:hAnsi="Times New Roman"/>
          <w:sz w:val="24"/>
          <w:szCs w:val="24"/>
        </w:rPr>
        <w:t xml:space="preserve">Datos simples: en esta regresión sólo se incluyeron las variables de edad, región, </w:t>
      </w:r>
      <w:r w:rsidR="00C45659" w:rsidRPr="009F5B57">
        <w:rPr>
          <w:rFonts w:ascii="Times New Roman" w:hAnsi="Times New Roman"/>
          <w:sz w:val="24"/>
          <w:szCs w:val="24"/>
        </w:rPr>
        <w:t xml:space="preserve">estrato </w:t>
      </w:r>
      <w:r w:rsidRPr="009F5B57">
        <w:rPr>
          <w:rFonts w:ascii="Times New Roman" w:hAnsi="Times New Roman"/>
          <w:sz w:val="24"/>
          <w:szCs w:val="24"/>
        </w:rPr>
        <w:t xml:space="preserve">urbano, quintil, la </w:t>
      </w:r>
      <w:r w:rsidR="00C45659" w:rsidRPr="009F5B57">
        <w:rPr>
          <w:rFonts w:ascii="Times New Roman" w:hAnsi="Times New Roman"/>
          <w:sz w:val="24"/>
          <w:szCs w:val="24"/>
        </w:rPr>
        <w:t>variable</w:t>
      </w:r>
      <w:r w:rsidRPr="009F5B57">
        <w:rPr>
          <w:rFonts w:ascii="Times New Roman" w:hAnsi="Times New Roman"/>
          <w:sz w:val="24"/>
          <w:szCs w:val="24"/>
        </w:rPr>
        <w:t xml:space="preserve"> indígena la cual hace referencia a si es o no indígena la persona en estudio, </w:t>
      </w:r>
      <w:r w:rsidR="00C45659" w:rsidRPr="009F5B57">
        <w:rPr>
          <w:rFonts w:ascii="Times New Roman" w:hAnsi="Times New Roman"/>
          <w:sz w:val="24"/>
          <w:szCs w:val="24"/>
        </w:rPr>
        <w:t>marginalidad</w:t>
      </w:r>
      <w:r w:rsidRPr="009F5B57">
        <w:rPr>
          <w:rFonts w:ascii="Times New Roman" w:hAnsi="Times New Roman"/>
          <w:sz w:val="24"/>
          <w:szCs w:val="24"/>
        </w:rPr>
        <w:t>, anemia y si vive o no con los padres.</w:t>
      </w:r>
      <w:r w:rsidR="00C45659" w:rsidRPr="009F5B57">
        <w:rPr>
          <w:rFonts w:ascii="Times New Roman" w:hAnsi="Times New Roman"/>
          <w:sz w:val="24"/>
          <w:szCs w:val="24"/>
        </w:rPr>
        <w:t xml:space="preserve"> </w:t>
      </w:r>
      <w:r w:rsidR="00271FB7" w:rsidRPr="009F5B57">
        <w:rPr>
          <w:rFonts w:ascii="Times New Roman" w:hAnsi="Times New Roman"/>
          <w:sz w:val="24"/>
          <w:szCs w:val="24"/>
        </w:rPr>
        <w:t xml:space="preserve">Se buscaba ver de manera sencilla cuáles variables afectaban en la inasistencia escolar, </w:t>
      </w:r>
      <w:r w:rsidR="00ED0C28" w:rsidRPr="009F5B57">
        <w:rPr>
          <w:rFonts w:ascii="Times New Roman" w:hAnsi="Times New Roman"/>
          <w:sz w:val="24"/>
          <w:szCs w:val="24"/>
        </w:rPr>
        <w:t>p</w:t>
      </w:r>
      <w:r w:rsidR="00770D28" w:rsidRPr="009F5B57">
        <w:rPr>
          <w:rFonts w:ascii="Times New Roman" w:hAnsi="Times New Roman"/>
          <w:sz w:val="24"/>
          <w:szCs w:val="24"/>
        </w:rPr>
        <w:t>ues s</w:t>
      </w:r>
      <w:r w:rsidR="00ED0C28" w:rsidRPr="009F5B57">
        <w:rPr>
          <w:rFonts w:ascii="Times New Roman" w:hAnsi="Times New Roman"/>
          <w:sz w:val="24"/>
          <w:szCs w:val="24"/>
        </w:rPr>
        <w:t>e buscaba</w:t>
      </w:r>
      <w:r w:rsidR="00770D28" w:rsidRPr="009F5B57">
        <w:rPr>
          <w:rFonts w:ascii="Times New Roman" w:hAnsi="Times New Roman"/>
          <w:sz w:val="24"/>
          <w:szCs w:val="24"/>
        </w:rPr>
        <w:t xml:space="preserve"> un</w:t>
      </w:r>
      <w:r w:rsidR="00271FB7" w:rsidRPr="009F5B57">
        <w:rPr>
          <w:rFonts w:ascii="Times New Roman" w:hAnsi="Times New Roman"/>
          <w:sz w:val="24"/>
          <w:szCs w:val="24"/>
        </w:rPr>
        <w:t xml:space="preserve"> </w:t>
      </w:r>
      <w:r w:rsidR="00ED0C28" w:rsidRPr="009F5B57">
        <w:rPr>
          <w:rFonts w:ascii="Times New Roman" w:hAnsi="Times New Roman"/>
          <w:sz w:val="24"/>
          <w:szCs w:val="24"/>
        </w:rPr>
        <w:t xml:space="preserve">panorama general. </w:t>
      </w:r>
      <w:r w:rsidR="00271FB7" w:rsidRPr="009F5B57">
        <w:rPr>
          <w:rFonts w:ascii="Times New Roman" w:hAnsi="Times New Roman"/>
          <w:sz w:val="24"/>
          <w:szCs w:val="24"/>
        </w:rPr>
        <w:t>Se hicieron 3 regresiones, la de hombres, mujeres y general. Se trabajó con un total de 11399</w:t>
      </w:r>
      <w:r w:rsidR="00770D28" w:rsidRPr="009F5B57">
        <w:rPr>
          <w:rFonts w:ascii="Times New Roman" w:hAnsi="Times New Roman"/>
          <w:sz w:val="24"/>
          <w:szCs w:val="24"/>
        </w:rPr>
        <w:t xml:space="preserve"> datos</w:t>
      </w:r>
      <w:r w:rsidR="00271FB7" w:rsidRPr="009F5B57">
        <w:rPr>
          <w:rFonts w:ascii="Times New Roman" w:hAnsi="Times New Roman"/>
          <w:sz w:val="24"/>
          <w:szCs w:val="24"/>
        </w:rPr>
        <w:t>, elimi</w:t>
      </w:r>
      <w:r w:rsidR="00DE7D5E" w:rsidRPr="009F5B57">
        <w:rPr>
          <w:rFonts w:ascii="Times New Roman" w:hAnsi="Times New Roman"/>
          <w:sz w:val="24"/>
          <w:szCs w:val="24"/>
        </w:rPr>
        <w:t>nando a las mujeres embarazadas</w:t>
      </w:r>
      <w:r w:rsidR="00271FB7" w:rsidRPr="009F5B57">
        <w:rPr>
          <w:rFonts w:ascii="Times New Roman" w:hAnsi="Times New Roman"/>
          <w:sz w:val="24"/>
          <w:szCs w:val="24"/>
        </w:rPr>
        <w:t>.</w:t>
      </w:r>
      <w:r w:rsidR="00E965E4" w:rsidRPr="009F5B57">
        <w:rPr>
          <w:rFonts w:ascii="Times New Roman" w:hAnsi="Times New Roman"/>
          <w:sz w:val="24"/>
          <w:szCs w:val="24"/>
        </w:rPr>
        <w:t xml:space="preserve"> Al realizar la regresión para las mujeres, se obtuvieron un total de 5725 datos mientras que para los hombres</w:t>
      </w:r>
      <w:r w:rsidR="00770D28" w:rsidRPr="009F5B57">
        <w:rPr>
          <w:rFonts w:ascii="Times New Roman" w:hAnsi="Times New Roman"/>
          <w:sz w:val="24"/>
          <w:szCs w:val="24"/>
        </w:rPr>
        <w:t xml:space="preserve"> 5674</w:t>
      </w:r>
      <w:r w:rsidR="000C0BBE" w:rsidRPr="009F5B57">
        <w:rPr>
          <w:rFonts w:ascii="Times New Roman" w:hAnsi="Times New Roman"/>
          <w:sz w:val="24"/>
          <w:szCs w:val="24"/>
        </w:rPr>
        <w:t>.</w:t>
      </w:r>
    </w:p>
    <w:p w14:paraId="6347AD99" w14:textId="69E26F5C" w:rsidR="008248BC" w:rsidRPr="00A329E1" w:rsidRDefault="0046565A" w:rsidP="009F5B57">
      <w:pPr>
        <w:pStyle w:val="NormalWeb"/>
        <w:numPr>
          <w:ilvl w:val="5"/>
          <w:numId w:val="11"/>
        </w:numPr>
        <w:spacing w:line="360" w:lineRule="auto"/>
        <w:jc w:val="both"/>
        <w:rPr>
          <w:rFonts w:ascii="Times New Roman" w:hAnsi="Times New Roman"/>
          <w:sz w:val="24"/>
          <w:szCs w:val="24"/>
        </w:rPr>
      </w:pPr>
      <w:r w:rsidRPr="009F5B57">
        <w:rPr>
          <w:rFonts w:ascii="Times New Roman" w:hAnsi="Times New Roman"/>
          <w:sz w:val="24"/>
          <w:szCs w:val="24"/>
        </w:rPr>
        <w:t>Datos completos:  en esta regresión se</w:t>
      </w:r>
      <w:r w:rsidR="004110E4">
        <w:rPr>
          <w:rFonts w:ascii="Times New Roman" w:hAnsi="Times New Roman"/>
          <w:sz w:val="24"/>
          <w:szCs w:val="24"/>
        </w:rPr>
        <w:t xml:space="preserve"> agregaron </w:t>
      </w:r>
      <w:r w:rsidRPr="009F5B57">
        <w:rPr>
          <w:rFonts w:ascii="Times New Roman" w:hAnsi="Times New Roman"/>
          <w:sz w:val="24"/>
          <w:szCs w:val="24"/>
        </w:rPr>
        <w:t>el ultimo nivel de estudios del padre y de la madre, afiliación y si</w:t>
      </w:r>
      <w:r w:rsidR="00DE7D5E" w:rsidRPr="009F5B57">
        <w:rPr>
          <w:rFonts w:ascii="Times New Roman" w:hAnsi="Times New Roman"/>
          <w:sz w:val="24"/>
          <w:szCs w:val="24"/>
        </w:rPr>
        <w:t xml:space="preserve"> habla o no una lengua indígena</w:t>
      </w:r>
      <w:r w:rsidR="004110E4">
        <w:rPr>
          <w:rFonts w:ascii="Times New Roman" w:hAnsi="Times New Roman"/>
          <w:sz w:val="24"/>
          <w:szCs w:val="24"/>
        </w:rPr>
        <w:t xml:space="preserve"> aunados a los que se mencionaron en la primer regresión</w:t>
      </w:r>
      <w:r w:rsidRPr="009F5B57">
        <w:rPr>
          <w:rFonts w:ascii="Times New Roman" w:hAnsi="Times New Roman"/>
          <w:sz w:val="24"/>
          <w:szCs w:val="24"/>
        </w:rPr>
        <w:t>.</w:t>
      </w:r>
      <w:r w:rsidR="00BB660F" w:rsidRPr="009F5B57">
        <w:rPr>
          <w:rFonts w:ascii="Times New Roman" w:hAnsi="Times New Roman"/>
          <w:sz w:val="24"/>
          <w:szCs w:val="24"/>
        </w:rPr>
        <w:t xml:space="preserve"> </w:t>
      </w:r>
      <w:r w:rsidR="00A62446" w:rsidRPr="009F5B57">
        <w:rPr>
          <w:rFonts w:ascii="Times New Roman" w:hAnsi="Times New Roman"/>
          <w:sz w:val="24"/>
          <w:szCs w:val="24"/>
        </w:rPr>
        <w:t>Se obtuv</w:t>
      </w:r>
      <w:r w:rsidR="00770D28" w:rsidRPr="009F5B57">
        <w:rPr>
          <w:rFonts w:ascii="Times New Roman" w:hAnsi="Times New Roman"/>
          <w:sz w:val="24"/>
          <w:szCs w:val="24"/>
        </w:rPr>
        <w:t>ieron un total de 7907 datos</w:t>
      </w:r>
      <w:r w:rsidR="00A62446" w:rsidRPr="009F5B57">
        <w:rPr>
          <w:rFonts w:ascii="Times New Roman" w:hAnsi="Times New Roman"/>
          <w:sz w:val="24"/>
          <w:szCs w:val="24"/>
        </w:rPr>
        <w:t>, de l</w:t>
      </w:r>
      <w:r w:rsidR="00155FDB" w:rsidRPr="009F5B57">
        <w:rPr>
          <w:rFonts w:ascii="Times New Roman" w:hAnsi="Times New Roman"/>
          <w:sz w:val="24"/>
          <w:szCs w:val="24"/>
        </w:rPr>
        <w:t>o</w:t>
      </w:r>
      <w:r w:rsidR="00A62446" w:rsidRPr="009F5B57">
        <w:rPr>
          <w:rFonts w:ascii="Times New Roman" w:hAnsi="Times New Roman"/>
          <w:sz w:val="24"/>
          <w:szCs w:val="24"/>
        </w:rPr>
        <w:t xml:space="preserve">s cuales 3965 eran </w:t>
      </w:r>
      <w:r w:rsidR="00770D28" w:rsidRPr="009F5B57">
        <w:rPr>
          <w:rFonts w:ascii="Times New Roman" w:hAnsi="Times New Roman"/>
          <w:sz w:val="24"/>
          <w:szCs w:val="24"/>
        </w:rPr>
        <w:t xml:space="preserve">de </w:t>
      </w:r>
      <w:r w:rsidR="00A62446" w:rsidRPr="009F5B57">
        <w:rPr>
          <w:rFonts w:ascii="Times New Roman" w:hAnsi="Times New Roman"/>
          <w:sz w:val="24"/>
          <w:szCs w:val="24"/>
        </w:rPr>
        <w:t>mujeres y 5674</w:t>
      </w:r>
      <w:r w:rsidR="00770D28" w:rsidRPr="009F5B57">
        <w:rPr>
          <w:rFonts w:ascii="Times New Roman" w:hAnsi="Times New Roman"/>
          <w:sz w:val="24"/>
          <w:szCs w:val="24"/>
        </w:rPr>
        <w:t xml:space="preserve"> de</w:t>
      </w:r>
      <w:r w:rsidR="00A62446" w:rsidRPr="009F5B57">
        <w:rPr>
          <w:rFonts w:ascii="Times New Roman" w:hAnsi="Times New Roman"/>
          <w:sz w:val="24"/>
          <w:szCs w:val="24"/>
        </w:rPr>
        <w:t xml:space="preserve"> hombres.</w:t>
      </w:r>
    </w:p>
    <w:p w14:paraId="513419DF" w14:textId="544A77FC" w:rsidR="0046565A" w:rsidRPr="00947664" w:rsidRDefault="00DE7D5E" w:rsidP="009F5B57">
      <w:pPr>
        <w:pStyle w:val="NormalWeb"/>
        <w:numPr>
          <w:ilvl w:val="5"/>
          <w:numId w:val="11"/>
        </w:numPr>
        <w:spacing w:line="360" w:lineRule="auto"/>
        <w:jc w:val="both"/>
        <w:rPr>
          <w:rFonts w:ascii="Times New Roman" w:hAnsi="Times New Roman"/>
          <w:sz w:val="24"/>
          <w:szCs w:val="24"/>
        </w:rPr>
      </w:pPr>
      <w:r w:rsidRPr="009F5B57">
        <w:rPr>
          <w:rFonts w:ascii="Times New Roman" w:hAnsi="Times New Roman"/>
          <w:sz w:val="24"/>
          <w:szCs w:val="24"/>
        </w:rPr>
        <w:t>Horas de trabajo de los padres</w:t>
      </w:r>
      <w:r w:rsidR="0046565A" w:rsidRPr="009F5B57">
        <w:rPr>
          <w:rFonts w:ascii="Times New Roman" w:hAnsi="Times New Roman"/>
          <w:sz w:val="24"/>
          <w:szCs w:val="24"/>
        </w:rPr>
        <w:t>:</w:t>
      </w:r>
      <w:r w:rsidR="00EF135C">
        <w:rPr>
          <w:rFonts w:ascii="Times New Roman" w:hAnsi="Times New Roman"/>
          <w:sz w:val="24"/>
          <w:szCs w:val="24"/>
        </w:rPr>
        <w:t xml:space="preserve"> se agregaron</w:t>
      </w:r>
      <w:r w:rsidR="0046565A" w:rsidRPr="009F5B57">
        <w:rPr>
          <w:rFonts w:ascii="Times New Roman" w:hAnsi="Times New Roman"/>
          <w:sz w:val="24"/>
          <w:szCs w:val="24"/>
        </w:rPr>
        <w:t xml:space="preserve"> </w:t>
      </w:r>
      <w:r w:rsidRPr="009F5B57">
        <w:rPr>
          <w:rFonts w:ascii="Times New Roman" w:hAnsi="Times New Roman"/>
          <w:sz w:val="24"/>
          <w:szCs w:val="24"/>
        </w:rPr>
        <w:t>las horas de trabajo de los padres</w:t>
      </w:r>
      <w:r w:rsidR="0046565A" w:rsidRPr="009F5B57">
        <w:rPr>
          <w:rFonts w:ascii="Times New Roman" w:hAnsi="Times New Roman"/>
          <w:sz w:val="24"/>
          <w:szCs w:val="24"/>
        </w:rPr>
        <w:t>.</w:t>
      </w:r>
      <w:r w:rsidR="00EF135C">
        <w:rPr>
          <w:rFonts w:ascii="Times New Roman" w:hAnsi="Times New Roman"/>
          <w:sz w:val="24"/>
          <w:szCs w:val="24"/>
        </w:rPr>
        <w:t xml:space="preserve"> </w:t>
      </w:r>
      <w:r w:rsidR="00A62446" w:rsidRPr="009F5B57">
        <w:rPr>
          <w:rFonts w:ascii="Times New Roman" w:hAnsi="Times New Roman"/>
          <w:sz w:val="24"/>
          <w:szCs w:val="24"/>
        </w:rPr>
        <w:t xml:space="preserve">Esta regresión se hizo de manera </w:t>
      </w:r>
      <w:r w:rsidR="00A13677" w:rsidRPr="009F5B57">
        <w:rPr>
          <w:rFonts w:ascii="Times New Roman" w:hAnsi="Times New Roman"/>
          <w:sz w:val="24"/>
          <w:szCs w:val="24"/>
        </w:rPr>
        <w:t>adicional</w:t>
      </w:r>
      <w:r w:rsidR="00A62446" w:rsidRPr="009F5B57">
        <w:rPr>
          <w:rFonts w:ascii="Times New Roman" w:hAnsi="Times New Roman"/>
          <w:sz w:val="24"/>
          <w:szCs w:val="24"/>
        </w:rPr>
        <w:t>, puesto que el objetivo del trabajo era buscar la relación educación- anemia, el interés en saber más acerca de las variables que afec</w:t>
      </w:r>
      <w:r w:rsidRPr="009F5B57">
        <w:rPr>
          <w:rFonts w:ascii="Times New Roman" w:hAnsi="Times New Roman"/>
          <w:sz w:val="24"/>
          <w:szCs w:val="24"/>
        </w:rPr>
        <w:t>tan a los jóvenes en el país fomentó la curiosidad para</w:t>
      </w:r>
      <w:r w:rsidR="00A62446" w:rsidRPr="009F5B57">
        <w:rPr>
          <w:rFonts w:ascii="Times New Roman" w:hAnsi="Times New Roman"/>
          <w:sz w:val="24"/>
          <w:szCs w:val="24"/>
        </w:rPr>
        <w:t xml:space="preserve"> buscar si existía una relación</w:t>
      </w:r>
      <w:r w:rsidR="00A13677" w:rsidRPr="009F5B57">
        <w:rPr>
          <w:rFonts w:ascii="Times New Roman" w:hAnsi="Times New Roman"/>
          <w:sz w:val="24"/>
          <w:szCs w:val="24"/>
        </w:rPr>
        <w:t xml:space="preserve"> estadística</w:t>
      </w:r>
      <w:r w:rsidR="00A62446" w:rsidRPr="009F5B57">
        <w:rPr>
          <w:rFonts w:ascii="Times New Roman" w:hAnsi="Times New Roman"/>
          <w:sz w:val="24"/>
          <w:szCs w:val="24"/>
        </w:rPr>
        <w:t xml:space="preserve"> positiva entre las horas trabajadas por la madre y la inasistencia a la escuela.</w:t>
      </w:r>
    </w:p>
    <w:p w14:paraId="2F224310" w14:textId="343548E7" w:rsidR="00E12A2F" w:rsidRPr="00947664" w:rsidRDefault="0046565A" w:rsidP="00947664">
      <w:pPr>
        <w:pStyle w:val="NormalWeb"/>
        <w:numPr>
          <w:ilvl w:val="0"/>
          <w:numId w:val="9"/>
        </w:numPr>
        <w:spacing w:line="360" w:lineRule="auto"/>
        <w:ind w:firstLine="709"/>
        <w:jc w:val="both"/>
        <w:rPr>
          <w:rFonts w:ascii="Times New Roman" w:hAnsi="Times New Roman"/>
          <w:sz w:val="24"/>
          <w:szCs w:val="24"/>
        </w:rPr>
      </w:pPr>
      <w:r w:rsidRPr="009F5B57">
        <w:rPr>
          <w:rFonts w:ascii="Times New Roman" w:hAnsi="Times New Roman"/>
          <w:sz w:val="24"/>
          <w:szCs w:val="24"/>
        </w:rPr>
        <w:t xml:space="preserve">Rezago como variable dependiente: </w:t>
      </w:r>
      <w:r w:rsidR="00E12A2F" w:rsidRPr="009F5B57">
        <w:rPr>
          <w:rFonts w:ascii="Times New Roman" w:hAnsi="Times New Roman"/>
          <w:sz w:val="24"/>
          <w:szCs w:val="24"/>
        </w:rPr>
        <w:t xml:space="preserve">para efectos de nuestro estudio, suponemos que un alumno está rezagado si cursa un grado escolar más bajo del que le </w:t>
      </w:r>
      <w:r w:rsidR="00E12A2F" w:rsidRPr="009F5B57">
        <w:rPr>
          <w:rFonts w:ascii="Times New Roman" w:hAnsi="Times New Roman"/>
          <w:sz w:val="24"/>
          <w:szCs w:val="24"/>
        </w:rPr>
        <w:lastRenderedPageBreak/>
        <w:t xml:space="preserve">corresponde de acuerdo a su edad. </w:t>
      </w:r>
      <w:r w:rsidR="00A62446" w:rsidRPr="009F5B57">
        <w:rPr>
          <w:rFonts w:ascii="Times New Roman" w:hAnsi="Times New Roman"/>
          <w:sz w:val="24"/>
          <w:szCs w:val="24"/>
        </w:rPr>
        <w:t xml:space="preserve">Para </w:t>
      </w:r>
      <w:r w:rsidR="00DE7D5E" w:rsidRPr="009F5B57">
        <w:rPr>
          <w:rFonts w:ascii="Times New Roman" w:hAnsi="Times New Roman"/>
          <w:sz w:val="24"/>
          <w:szCs w:val="24"/>
        </w:rPr>
        <w:t>esta regresión se implementaron los mismos 3 casos que se mencionaron con anterioridad.</w:t>
      </w:r>
    </w:p>
    <w:p w14:paraId="623691E0" w14:textId="418079F4" w:rsidR="00DE7D5E" w:rsidRPr="009F5B57" w:rsidRDefault="00442772" w:rsidP="009F5B57">
      <w:pPr>
        <w:pStyle w:val="NormalWeb"/>
        <w:spacing w:line="360" w:lineRule="auto"/>
        <w:ind w:firstLine="709"/>
        <w:jc w:val="both"/>
        <w:rPr>
          <w:rFonts w:ascii="Times New Roman" w:hAnsi="Times New Roman"/>
          <w:sz w:val="24"/>
          <w:szCs w:val="24"/>
        </w:rPr>
      </w:pPr>
      <w:r w:rsidRPr="009F5B57">
        <w:rPr>
          <w:rFonts w:ascii="Times New Roman" w:hAnsi="Times New Roman"/>
          <w:sz w:val="24"/>
          <w:szCs w:val="24"/>
        </w:rPr>
        <w:t>Los modelos generales queda</w:t>
      </w:r>
      <w:r w:rsidR="00770D28" w:rsidRPr="009F5B57">
        <w:rPr>
          <w:rFonts w:ascii="Times New Roman" w:hAnsi="Times New Roman"/>
          <w:sz w:val="24"/>
          <w:szCs w:val="24"/>
        </w:rPr>
        <w:t>ro</w:t>
      </w:r>
      <w:r w:rsidRPr="009F5B57">
        <w:rPr>
          <w:rFonts w:ascii="Times New Roman" w:hAnsi="Times New Roman"/>
          <w:sz w:val="24"/>
          <w:szCs w:val="24"/>
        </w:rPr>
        <w:t>n de la siguiente forma</w:t>
      </w:r>
      <w:r w:rsidR="00DE7D5E" w:rsidRPr="009F5B57">
        <w:rPr>
          <w:rFonts w:ascii="Times New Roman" w:hAnsi="Times New Roman"/>
          <w:sz w:val="24"/>
          <w:szCs w:val="24"/>
        </w:rPr>
        <w:t>:</w:t>
      </w:r>
    </w:p>
    <w:p w14:paraId="76EEE2A9" w14:textId="02304205" w:rsidR="00DE7D5E" w:rsidRPr="009F5B57" w:rsidRDefault="00770D28" w:rsidP="009F5B57">
      <w:pPr>
        <w:pStyle w:val="NormalWeb"/>
        <w:spacing w:line="360" w:lineRule="auto"/>
        <w:ind w:firstLine="709"/>
        <w:jc w:val="both"/>
        <w:rPr>
          <w:rFonts w:ascii="Times New Roman" w:hAnsi="Times New Roman"/>
          <w:sz w:val="24"/>
          <w:szCs w:val="24"/>
        </w:rPr>
      </w:pPr>
      <w:r w:rsidRPr="009F5B57">
        <w:rPr>
          <w:rFonts w:ascii="Times New Roman" w:hAnsi="Times New Roman"/>
          <w:sz w:val="24"/>
          <w:szCs w:val="24"/>
        </w:rPr>
        <w:t>Para l</w:t>
      </w:r>
      <w:r w:rsidR="008248BC" w:rsidRPr="009F5B57">
        <w:rPr>
          <w:rFonts w:ascii="Times New Roman" w:hAnsi="Times New Roman"/>
          <w:sz w:val="24"/>
          <w:szCs w:val="24"/>
        </w:rPr>
        <w:t>a asistencia a la escuela:</w:t>
      </w:r>
    </w:p>
    <w:p w14:paraId="71C7092D" w14:textId="3E263B6B" w:rsidR="00DE7D5E" w:rsidRPr="00EF135C" w:rsidRDefault="00DE7D5E" w:rsidP="00EF135C">
      <w:pPr>
        <w:pStyle w:val="NormalWeb"/>
        <w:spacing w:line="360" w:lineRule="auto"/>
        <w:jc w:val="center"/>
        <w:rPr>
          <w:rFonts w:ascii="Times New Roman" w:hAnsi="Times New Roman"/>
          <w:sz w:val="16"/>
          <w:szCs w:val="16"/>
        </w:rPr>
      </w:pPr>
      <m:oMathPara>
        <m:oMath>
          <m:r>
            <w:rPr>
              <w:rFonts w:ascii="Cambria Math" w:hAnsi="Cambria Math"/>
              <w:sz w:val="16"/>
              <w:szCs w:val="16"/>
            </w:rPr>
            <m:t xml:space="preserve">Y=    </m:t>
          </m:r>
          <m:d>
            <m:dPr>
              <m:begChr m:val="{"/>
              <m:endChr m:val=""/>
              <m:ctrlPr>
                <w:rPr>
                  <w:rFonts w:ascii="Cambria Math" w:hAnsi="Cambria Math"/>
                  <w:i/>
                  <w:sz w:val="16"/>
                  <w:szCs w:val="16"/>
                </w:rPr>
              </m:ctrlPr>
            </m:dPr>
            <m:e>
              <m:eqArr>
                <m:eqArrPr>
                  <m:ctrlPr>
                    <w:rPr>
                      <w:rFonts w:ascii="Cambria Math" w:hAnsi="Cambria Math"/>
                      <w:i/>
                      <w:sz w:val="16"/>
                      <w:szCs w:val="16"/>
                    </w:rPr>
                  </m:ctrlPr>
                </m:eqArrPr>
                <m:e>
                  <m:r>
                    <w:rPr>
                      <w:rFonts w:ascii="Cambria Math" w:hAnsi="Cambria Math"/>
                      <w:sz w:val="16"/>
                      <w:szCs w:val="16"/>
                    </w:rPr>
                    <m:t>1                 asistir a la escuela</m:t>
                  </m:r>
                </m:e>
                <m:e>
                  <m:r>
                    <w:rPr>
                      <w:rFonts w:ascii="Cambria Math" w:hAnsi="Cambria Math"/>
                      <w:sz w:val="16"/>
                      <w:szCs w:val="16"/>
                    </w:rPr>
                    <m:t xml:space="preserve">      0           no asistencia a la escuela</m:t>
                  </m:r>
                </m:e>
              </m:eqArr>
            </m:e>
          </m:d>
        </m:oMath>
      </m:oMathPara>
    </w:p>
    <w:p w14:paraId="27049202" w14:textId="5BC25501" w:rsidR="00442772" w:rsidRPr="00105DD4" w:rsidRDefault="001A45D5" w:rsidP="009F5B57">
      <w:pPr>
        <w:pStyle w:val="NormalWeb"/>
        <w:spacing w:line="360" w:lineRule="auto"/>
        <w:jc w:val="both"/>
        <w:rPr>
          <w:rFonts w:ascii="Times New Roman" w:hAnsi="Times New Roman"/>
          <w:sz w:val="16"/>
          <w:szCs w:val="16"/>
        </w:rPr>
      </w:pPr>
      <m:oMathPara>
        <m:oMath>
          <m:r>
            <m:rPr>
              <m:sty m:val="p"/>
            </m:rPr>
            <w:rPr>
              <w:rFonts w:ascii="Cambria Math" w:hAnsi="Cambria Math"/>
              <w:sz w:val="16"/>
              <w:szCs w:val="16"/>
            </w:rPr>
            <m:t>Asistencia a la escuela=f</m:t>
          </m:r>
          <m:d>
            <m:dPr>
              <m:ctrlPr>
                <w:rPr>
                  <w:rFonts w:ascii="Cambria Math" w:hAnsi="Cambria Math"/>
                  <w:sz w:val="16"/>
                  <w:szCs w:val="16"/>
                </w:rPr>
              </m:ctrlPr>
            </m:dPr>
            <m:e>
              <m:sSub>
                <m:sSubPr>
                  <m:ctrlPr>
                    <w:rPr>
                      <w:rFonts w:ascii="Cambria Math" w:hAnsi="Cambria Math"/>
                      <w:sz w:val="16"/>
                      <w:szCs w:val="16"/>
                    </w:rPr>
                  </m:ctrlPr>
                </m:sSubPr>
                <m:e>
                  <m:r>
                    <m:rPr>
                      <m:sty m:val="p"/>
                    </m:rPr>
                    <w:rPr>
                      <w:rFonts w:ascii="Cambria Math" w:hAnsi="Cambria Math"/>
                      <w:sz w:val="16"/>
                      <w:szCs w:val="16"/>
                    </w:rPr>
                    <m:t>Z</m:t>
                  </m:r>
                </m:e>
                <m:sub>
                  <m:r>
                    <m:rPr>
                      <m:sty m:val="p"/>
                    </m:rPr>
                    <w:rPr>
                      <w:rFonts w:ascii="Cambria Math" w:hAnsi="Cambria Math"/>
                      <w:sz w:val="16"/>
                      <w:szCs w:val="16"/>
                    </w:rPr>
                    <m:t xml:space="preserve">i  </m:t>
                  </m:r>
                </m:sub>
              </m:sSub>
            </m:e>
          </m:d>
          <m:r>
            <m:rPr>
              <m:sty m:val="p"/>
            </m:rPr>
            <w:rPr>
              <w:rFonts w:ascii="Cambria Math" w:hAnsi="Cambria Math"/>
              <w:sz w:val="16"/>
              <w:szCs w:val="16"/>
            </w:rPr>
            <m:t xml:space="preserve">+ </m:t>
          </m:r>
          <m:sSub>
            <m:sSubPr>
              <m:ctrlPr>
                <w:rPr>
                  <w:rFonts w:ascii="Cambria Math" w:hAnsi="Cambria Math"/>
                  <w:sz w:val="16"/>
                  <w:szCs w:val="16"/>
                </w:rPr>
              </m:ctrlPr>
            </m:sSubPr>
            <m:e>
              <m:r>
                <m:rPr>
                  <m:sty m:val="p"/>
                </m:rPr>
                <w:rPr>
                  <w:rFonts w:ascii="Cambria Math" w:hAnsi="Cambria Math"/>
                  <w:sz w:val="16"/>
                  <w:szCs w:val="16"/>
                </w:rPr>
                <m:t>u</m:t>
              </m:r>
            </m:e>
            <m:sub>
              <m:r>
                <m:rPr>
                  <m:sty m:val="p"/>
                </m:rPr>
                <w:rPr>
                  <w:rFonts w:ascii="Cambria Math" w:hAnsi="Cambria Math"/>
                  <w:sz w:val="16"/>
                  <w:szCs w:val="16"/>
                </w:rPr>
                <m:t xml:space="preserve">i   </m:t>
              </m:r>
            </m:sub>
          </m:sSub>
          <m:r>
            <m:rPr>
              <m:sty m:val="p"/>
            </m:rPr>
            <w:rPr>
              <w:rFonts w:ascii="Cambria Math" w:hAnsi="Cambria Math"/>
              <w:sz w:val="16"/>
              <w:szCs w:val="16"/>
            </w:rPr>
            <m:t xml:space="preserve">  donde i=1,…..,n.</m:t>
          </m:r>
        </m:oMath>
      </m:oMathPara>
    </w:p>
    <w:p w14:paraId="5DFD259A" w14:textId="49CD47B1" w:rsidR="008248BC" w:rsidRPr="00105DD4" w:rsidRDefault="00442772" w:rsidP="009F5B57">
      <w:pPr>
        <w:pStyle w:val="NormalWeb"/>
        <w:spacing w:line="360" w:lineRule="auto"/>
        <w:jc w:val="both"/>
        <w:rPr>
          <w:rFonts w:ascii="Times New Roman" w:hAnsi="Times New Roman"/>
          <w:sz w:val="16"/>
          <w:szCs w:val="16"/>
        </w:rPr>
      </w:pPr>
      <w:r w:rsidRPr="009F5B57">
        <w:rPr>
          <w:rFonts w:ascii="Times New Roman" w:hAnsi="Times New Roman"/>
          <w:sz w:val="24"/>
          <w:szCs w:val="24"/>
        </w:rPr>
        <w:t xml:space="preserve">       Donde </w:t>
      </w:r>
      <m:oMath>
        <m:sSub>
          <m:sSubPr>
            <m:ctrlPr>
              <w:rPr>
                <w:rFonts w:ascii="Cambria Math" w:hAnsi="Cambria Math"/>
                <w:sz w:val="16"/>
                <w:szCs w:val="16"/>
              </w:rPr>
            </m:ctrlPr>
          </m:sSubPr>
          <m:e>
            <m:r>
              <m:rPr>
                <m:sty m:val="p"/>
              </m:rPr>
              <w:rPr>
                <w:rFonts w:ascii="Cambria Math" w:hAnsi="Cambria Math"/>
                <w:sz w:val="16"/>
                <w:szCs w:val="16"/>
              </w:rPr>
              <m:t>Z</m:t>
            </m:r>
          </m:e>
          <m:sub>
            <m:eqArr>
              <m:eqArrPr>
                <m:ctrlPr>
                  <w:rPr>
                    <w:rFonts w:ascii="Cambria Math" w:hAnsi="Cambria Math"/>
                    <w:sz w:val="16"/>
                    <w:szCs w:val="16"/>
                  </w:rPr>
                </m:ctrlPr>
              </m:eqArrPr>
              <m:e>
                <m:r>
                  <m:rPr>
                    <m:sty m:val="p"/>
                  </m:rPr>
                  <w:rPr>
                    <w:rFonts w:ascii="Cambria Math" w:hAnsi="Cambria Math"/>
                    <w:sz w:val="16"/>
                    <w:szCs w:val="16"/>
                  </w:rPr>
                  <m:t>i=</m:t>
                </m:r>
              </m:e>
              <m:e>
                <m:r>
                  <m:rPr>
                    <m:sty m:val="p"/>
                  </m:rPr>
                  <w:rPr>
                    <w:rFonts w:ascii="Cambria Math" w:hAnsi="Cambria Math"/>
                    <w:sz w:val="16"/>
                    <w:szCs w:val="16"/>
                  </w:rPr>
                  <m:t xml:space="preserve"> </m:t>
                </m:r>
              </m:e>
            </m:eqArr>
          </m:sub>
        </m:sSub>
        <m:r>
          <w:rPr>
            <w:rFonts w:ascii="Cambria Math" w:hAnsi="Cambria Math"/>
            <w:sz w:val="16"/>
            <w:szCs w:val="16"/>
          </w:rPr>
          <m:t xml:space="preserve"> =</m:t>
        </m:r>
        <m:sSub>
          <m:sSubPr>
            <m:ctrlPr>
              <w:rPr>
                <w:rFonts w:ascii="Cambria Math" w:hAnsi="Cambria Math"/>
                <w:sz w:val="16"/>
                <w:szCs w:val="16"/>
              </w:rPr>
            </m:ctrlPr>
          </m:sSubPr>
          <m:e>
            <m:r>
              <m:rPr>
                <m:sty m:val="p"/>
              </m:rPr>
              <w:rPr>
                <w:rFonts w:ascii="Cambria Math" w:hAnsi="Cambria Math"/>
                <w:sz w:val="16"/>
                <w:szCs w:val="16"/>
              </w:rPr>
              <m:t>β</m:t>
            </m:r>
          </m:e>
          <m:sub>
            <m:r>
              <m:rPr>
                <m:sty m:val="p"/>
              </m:rPr>
              <w:rPr>
                <w:rFonts w:ascii="Cambria Math" w:hAnsi="Cambria Math"/>
                <w:sz w:val="16"/>
                <w:szCs w:val="16"/>
              </w:rPr>
              <m:t xml:space="preserve">1  </m:t>
            </m:r>
          </m:sub>
        </m:sSub>
        <m:r>
          <m:rPr>
            <m:sty m:val="p"/>
          </m:rPr>
          <w:rPr>
            <w:rFonts w:ascii="Cambria Math" w:hAnsi="Cambria Math"/>
            <w:sz w:val="16"/>
            <w:szCs w:val="16"/>
          </w:rPr>
          <m:t xml:space="preserve">+ </m:t>
        </m:r>
        <m:sSub>
          <m:sSubPr>
            <m:ctrlPr>
              <w:rPr>
                <w:rFonts w:ascii="Cambria Math" w:hAnsi="Cambria Math"/>
                <w:sz w:val="16"/>
                <w:szCs w:val="16"/>
              </w:rPr>
            </m:ctrlPr>
          </m:sSubPr>
          <m:e>
            <m:r>
              <m:rPr>
                <m:sty m:val="p"/>
              </m:rPr>
              <w:rPr>
                <w:rFonts w:ascii="Cambria Math" w:hAnsi="Cambria Math"/>
                <w:sz w:val="16"/>
                <w:szCs w:val="16"/>
              </w:rPr>
              <m:t>β</m:t>
            </m:r>
          </m:e>
          <m:sub>
            <m:r>
              <m:rPr>
                <m:sty m:val="p"/>
              </m:rPr>
              <w:rPr>
                <w:rFonts w:ascii="Cambria Math" w:hAnsi="Cambria Math"/>
                <w:sz w:val="16"/>
                <w:szCs w:val="16"/>
              </w:rPr>
              <m:t xml:space="preserve">2  </m:t>
            </m:r>
          </m:sub>
        </m:sSub>
        <m:r>
          <m:rPr>
            <m:sty m:val="p"/>
          </m:rPr>
          <w:rPr>
            <w:rFonts w:ascii="Cambria Math" w:hAnsi="Cambria Math"/>
            <w:sz w:val="16"/>
            <w:szCs w:val="16"/>
          </w:rPr>
          <m:t>dsexo+</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3</m:t>
            </m:r>
          </m:sub>
        </m:sSub>
        <m:r>
          <m:rPr>
            <m:sty m:val="p"/>
          </m:rPr>
          <w:rPr>
            <w:rFonts w:ascii="Cambria Math" w:hAnsi="Cambria Math"/>
            <w:sz w:val="16"/>
            <w:szCs w:val="16"/>
          </w:rPr>
          <m:t>edad13+</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4</m:t>
            </m:r>
          </m:sub>
        </m:sSub>
        <m:r>
          <m:rPr>
            <m:sty m:val="p"/>
          </m:rPr>
          <w:rPr>
            <w:rFonts w:ascii="Cambria Math" w:hAnsi="Cambria Math"/>
            <w:sz w:val="16"/>
            <w:szCs w:val="16"/>
          </w:rPr>
          <m:t>edad14++</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5</m:t>
            </m:r>
          </m:sub>
        </m:sSub>
        <m:r>
          <m:rPr>
            <m:sty m:val="p"/>
          </m:rPr>
          <w:rPr>
            <w:rFonts w:ascii="Cambria Math" w:hAnsi="Cambria Math"/>
            <w:sz w:val="16"/>
            <w:szCs w:val="16"/>
          </w:rPr>
          <m:t>edad15+</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6</m:t>
            </m:r>
          </m:sub>
        </m:sSub>
        <m:r>
          <m:rPr>
            <m:sty m:val="p"/>
          </m:rPr>
          <w:rPr>
            <w:rFonts w:ascii="Cambria Math" w:hAnsi="Cambria Math"/>
            <w:sz w:val="16"/>
            <w:szCs w:val="16"/>
          </w:rPr>
          <m:t>edad16+</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7</m:t>
            </m:r>
          </m:sub>
        </m:sSub>
        <m:r>
          <m:rPr>
            <m:sty m:val="p"/>
          </m:rPr>
          <w:rPr>
            <w:rFonts w:ascii="Cambria Math" w:hAnsi="Cambria Math"/>
            <w:sz w:val="16"/>
            <w:szCs w:val="16"/>
          </w:rPr>
          <m:t>edad17+</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8</m:t>
            </m:r>
          </m:sub>
        </m:sSub>
        <m:r>
          <m:rPr>
            <m:sty m:val="p"/>
          </m:rPr>
          <w:rPr>
            <w:rFonts w:ascii="Cambria Math" w:hAnsi="Cambria Math"/>
            <w:sz w:val="16"/>
            <w:szCs w:val="16"/>
          </w:rPr>
          <m:t>edad18+</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9</m:t>
            </m:r>
          </m:sub>
        </m:sSub>
        <m:r>
          <m:rPr>
            <m:sty m:val="p"/>
          </m:rPr>
          <w:rPr>
            <w:rFonts w:ascii="Cambria Math" w:hAnsi="Cambria Math"/>
            <w:sz w:val="16"/>
            <w:szCs w:val="16"/>
          </w:rPr>
          <m:t>edad19+</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10</m:t>
            </m:r>
          </m:sub>
        </m:sSub>
        <m:r>
          <m:rPr>
            <m:sty m:val="p"/>
          </m:rPr>
          <w:rPr>
            <w:rFonts w:ascii="Cambria Math" w:hAnsi="Cambria Math"/>
            <w:sz w:val="16"/>
            <w:szCs w:val="16"/>
          </w:rPr>
          <m:t>dregio2+</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11</m:t>
            </m:r>
          </m:sub>
        </m:sSub>
        <m:r>
          <m:rPr>
            <m:sty m:val="p"/>
          </m:rPr>
          <w:rPr>
            <w:rFonts w:ascii="Cambria Math" w:hAnsi="Cambria Math"/>
            <w:sz w:val="16"/>
            <w:szCs w:val="16"/>
          </w:rPr>
          <m:t>dregion3+</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12</m:t>
            </m:r>
          </m:sub>
        </m:sSub>
        <m:r>
          <m:rPr>
            <m:sty m:val="p"/>
          </m:rPr>
          <w:rPr>
            <w:rFonts w:ascii="Cambria Math" w:hAnsi="Cambria Math"/>
            <w:sz w:val="16"/>
            <w:szCs w:val="16"/>
          </w:rPr>
          <m:t>dregion4+</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13</m:t>
            </m:r>
          </m:sub>
        </m:sSub>
        <m:r>
          <m:rPr>
            <m:sty m:val="p"/>
          </m:rPr>
          <w:rPr>
            <w:rFonts w:ascii="Cambria Math" w:hAnsi="Cambria Math"/>
            <w:sz w:val="16"/>
            <w:szCs w:val="16"/>
          </w:rPr>
          <m:t>durbano2+</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14</m:t>
            </m:r>
          </m:sub>
        </m:sSub>
        <m:r>
          <m:rPr>
            <m:sty m:val="p"/>
          </m:rPr>
          <w:rPr>
            <w:rFonts w:ascii="Cambria Math" w:hAnsi="Cambria Math"/>
            <w:sz w:val="16"/>
            <w:szCs w:val="16"/>
          </w:rPr>
          <m:t>durbano3+</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15</m:t>
            </m:r>
          </m:sub>
        </m:sSub>
        <m:r>
          <m:rPr>
            <m:sty m:val="p"/>
          </m:rPr>
          <w:rPr>
            <w:rFonts w:ascii="Cambria Math" w:hAnsi="Cambria Math"/>
            <w:sz w:val="16"/>
            <w:szCs w:val="16"/>
          </w:rPr>
          <m:t>quintil2+</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16</m:t>
            </m:r>
          </m:sub>
        </m:sSub>
        <m:r>
          <m:rPr>
            <m:sty m:val="p"/>
          </m:rPr>
          <w:rPr>
            <w:rFonts w:ascii="Cambria Math" w:hAnsi="Cambria Math"/>
            <w:sz w:val="16"/>
            <w:szCs w:val="16"/>
          </w:rPr>
          <m:t>quintil3+</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17</m:t>
            </m:r>
          </m:sub>
        </m:sSub>
        <m:r>
          <m:rPr>
            <m:sty m:val="p"/>
          </m:rPr>
          <w:rPr>
            <w:rFonts w:ascii="Cambria Math" w:hAnsi="Cambria Math"/>
            <w:sz w:val="16"/>
            <w:szCs w:val="16"/>
          </w:rPr>
          <m:t>quintil4+</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18</m:t>
            </m:r>
          </m:sub>
        </m:sSub>
        <m:r>
          <m:rPr>
            <m:sty m:val="p"/>
          </m:rPr>
          <w:rPr>
            <w:rFonts w:ascii="Cambria Math" w:hAnsi="Cambria Math"/>
            <w:sz w:val="16"/>
            <w:szCs w:val="16"/>
          </w:rPr>
          <m:t>quintil5+</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19</m:t>
            </m:r>
          </m:sub>
        </m:sSub>
        <m:r>
          <m:rPr>
            <m:sty m:val="p"/>
          </m:rPr>
          <w:rPr>
            <w:rFonts w:ascii="Cambria Math" w:hAnsi="Cambria Math"/>
            <w:sz w:val="16"/>
            <w:szCs w:val="16"/>
          </w:rPr>
          <m:t>dmarginalidad+</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20</m:t>
            </m:r>
          </m:sub>
        </m:sSub>
        <m:r>
          <m:rPr>
            <m:sty m:val="p"/>
          </m:rPr>
          <w:rPr>
            <w:rFonts w:ascii="Cambria Math" w:hAnsi="Cambria Math"/>
            <w:sz w:val="16"/>
            <w:szCs w:val="16"/>
          </w:rPr>
          <m:t>dindigena+</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21</m:t>
            </m:r>
          </m:sub>
        </m:sSub>
        <m:r>
          <m:rPr>
            <m:sty m:val="p"/>
          </m:rPr>
          <w:rPr>
            <w:rFonts w:ascii="Cambria Math" w:hAnsi="Cambria Math"/>
            <w:sz w:val="16"/>
            <w:szCs w:val="16"/>
          </w:rPr>
          <m:t>dvivepadres+</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22</m:t>
            </m:r>
          </m:sub>
        </m:sSub>
        <m:r>
          <m:rPr>
            <m:sty m:val="p"/>
          </m:rPr>
          <w:rPr>
            <w:rFonts w:ascii="Cambria Math" w:hAnsi="Cambria Math"/>
            <w:sz w:val="16"/>
            <w:szCs w:val="16"/>
          </w:rPr>
          <m:t>anemia+</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23</m:t>
            </m:r>
          </m:sub>
        </m:sSub>
        <m:r>
          <m:rPr>
            <m:sty m:val="p"/>
          </m:rPr>
          <w:rPr>
            <w:rFonts w:ascii="Cambria Math" w:hAnsi="Cambria Math"/>
            <w:sz w:val="16"/>
            <w:szCs w:val="16"/>
          </w:rPr>
          <m:t>afiliaciondummy+</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24</m:t>
            </m:r>
          </m:sub>
        </m:sSub>
        <m:r>
          <m:rPr>
            <m:sty m:val="p"/>
          </m:rPr>
          <w:rPr>
            <w:rFonts w:ascii="Cambria Math" w:hAnsi="Cambria Math"/>
            <w:sz w:val="16"/>
            <w:szCs w:val="16"/>
          </w:rPr>
          <m:t>madreultimonivel +</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25</m:t>
            </m:r>
          </m:sub>
        </m:sSub>
        <m:r>
          <m:rPr>
            <m:sty m:val="p"/>
          </m:rPr>
          <w:rPr>
            <w:rFonts w:ascii="Cambria Math" w:hAnsi="Cambria Math"/>
            <w:sz w:val="16"/>
            <w:szCs w:val="16"/>
          </w:rPr>
          <m:t>padreultimonivel+</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26</m:t>
            </m:r>
          </m:sub>
        </m:sSub>
        <m:r>
          <m:rPr>
            <m:sty m:val="p"/>
          </m:rPr>
          <w:rPr>
            <w:rFonts w:ascii="Cambria Math" w:hAnsi="Cambria Math"/>
            <w:sz w:val="16"/>
            <w:szCs w:val="16"/>
          </w:rPr>
          <m:t>madrehrtrabajo+</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27</m:t>
            </m:r>
          </m:sub>
        </m:sSub>
        <m:r>
          <m:rPr>
            <m:sty m:val="p"/>
          </m:rPr>
          <w:rPr>
            <w:rFonts w:ascii="Cambria Math" w:hAnsi="Cambria Math"/>
            <w:sz w:val="16"/>
            <w:szCs w:val="16"/>
          </w:rPr>
          <m:t>padrehrtrabajo</m:t>
        </m:r>
      </m:oMath>
    </w:p>
    <w:p w14:paraId="3A2C647D" w14:textId="765CB79E" w:rsidR="00442772" w:rsidRPr="009F5B57" w:rsidRDefault="008248BC" w:rsidP="009F5B57">
      <w:pPr>
        <w:pStyle w:val="NormalWeb"/>
        <w:spacing w:line="360" w:lineRule="auto"/>
        <w:ind w:firstLine="709"/>
        <w:jc w:val="both"/>
        <w:rPr>
          <w:rFonts w:ascii="Times New Roman" w:hAnsi="Times New Roman"/>
          <w:sz w:val="24"/>
          <w:szCs w:val="24"/>
        </w:rPr>
      </w:pPr>
      <w:r w:rsidRPr="009F5B57">
        <w:rPr>
          <w:rFonts w:ascii="Times New Roman" w:hAnsi="Times New Roman"/>
          <w:sz w:val="24"/>
          <w:szCs w:val="24"/>
        </w:rPr>
        <w:t>Para el rezago:</w:t>
      </w:r>
    </w:p>
    <w:p w14:paraId="08772087" w14:textId="2EB69881" w:rsidR="00442772" w:rsidRPr="00051BD3" w:rsidRDefault="00442772" w:rsidP="009F5B57">
      <w:pPr>
        <w:pStyle w:val="NormalWeb"/>
        <w:spacing w:line="360" w:lineRule="auto"/>
        <w:jc w:val="both"/>
        <w:rPr>
          <w:rFonts w:ascii="Times New Roman" w:hAnsi="Times New Roman"/>
          <w:sz w:val="16"/>
          <w:szCs w:val="16"/>
        </w:rPr>
      </w:pPr>
      <m:oMathPara>
        <m:oMath>
          <m:r>
            <w:rPr>
              <w:rFonts w:ascii="Cambria Math" w:hAnsi="Cambria Math"/>
              <w:sz w:val="16"/>
              <w:szCs w:val="16"/>
            </w:rPr>
            <m:t xml:space="preserve">Y=    </m:t>
          </m:r>
          <m:d>
            <m:dPr>
              <m:begChr m:val="{"/>
              <m:endChr m:val=""/>
              <m:ctrlPr>
                <w:rPr>
                  <w:rFonts w:ascii="Cambria Math" w:hAnsi="Cambria Math"/>
                  <w:i/>
                  <w:sz w:val="16"/>
                  <w:szCs w:val="16"/>
                </w:rPr>
              </m:ctrlPr>
            </m:dPr>
            <m:e>
              <m:eqArr>
                <m:eqArrPr>
                  <m:ctrlPr>
                    <w:rPr>
                      <w:rFonts w:ascii="Cambria Math" w:hAnsi="Cambria Math"/>
                      <w:i/>
                      <w:sz w:val="16"/>
                      <w:szCs w:val="16"/>
                    </w:rPr>
                  </m:ctrlPr>
                </m:eqArrPr>
                <m:e>
                  <m:r>
                    <w:rPr>
                      <w:rFonts w:ascii="Cambria Math" w:hAnsi="Cambria Math"/>
                      <w:sz w:val="16"/>
                      <w:szCs w:val="16"/>
                    </w:rPr>
                    <m:t>1        rezago</m:t>
                  </m:r>
                </m:e>
                <m:e>
                  <m:r>
                    <w:rPr>
                      <w:rFonts w:ascii="Cambria Math" w:hAnsi="Cambria Math"/>
                      <w:sz w:val="16"/>
                      <w:szCs w:val="16"/>
                    </w:rPr>
                    <m:t xml:space="preserve">      0        no rezago</m:t>
                  </m:r>
                </m:e>
              </m:eqArr>
            </m:e>
          </m:d>
        </m:oMath>
      </m:oMathPara>
    </w:p>
    <w:p w14:paraId="36CDE28A" w14:textId="2E05667B" w:rsidR="00442772" w:rsidRPr="00051BD3" w:rsidRDefault="00442772" w:rsidP="009F5B57">
      <w:pPr>
        <w:pStyle w:val="NormalWeb"/>
        <w:spacing w:line="360" w:lineRule="auto"/>
        <w:jc w:val="both"/>
        <w:rPr>
          <w:rFonts w:ascii="Times New Roman" w:hAnsi="Times New Roman"/>
          <w:sz w:val="16"/>
          <w:szCs w:val="16"/>
        </w:rPr>
      </w:pPr>
      <m:oMathPara>
        <m:oMath>
          <m:r>
            <m:rPr>
              <m:sty m:val="p"/>
            </m:rPr>
            <w:rPr>
              <w:rFonts w:ascii="Cambria Math" w:hAnsi="Cambria Math"/>
              <w:sz w:val="16"/>
              <w:szCs w:val="16"/>
            </w:rPr>
            <m:t>Rezago=f</m:t>
          </m:r>
          <m:d>
            <m:dPr>
              <m:ctrlPr>
                <w:rPr>
                  <w:rFonts w:ascii="Cambria Math" w:hAnsi="Cambria Math"/>
                  <w:sz w:val="16"/>
                  <w:szCs w:val="16"/>
                </w:rPr>
              </m:ctrlPr>
            </m:dPr>
            <m:e>
              <m:sSub>
                <m:sSubPr>
                  <m:ctrlPr>
                    <w:rPr>
                      <w:rFonts w:ascii="Cambria Math" w:hAnsi="Cambria Math"/>
                      <w:sz w:val="16"/>
                      <w:szCs w:val="16"/>
                    </w:rPr>
                  </m:ctrlPr>
                </m:sSubPr>
                <m:e>
                  <m:r>
                    <m:rPr>
                      <m:sty m:val="p"/>
                    </m:rPr>
                    <w:rPr>
                      <w:rFonts w:ascii="Cambria Math" w:hAnsi="Cambria Math"/>
                      <w:sz w:val="16"/>
                      <w:szCs w:val="16"/>
                    </w:rPr>
                    <m:t>Z</m:t>
                  </m:r>
                </m:e>
                <m:sub>
                  <m:r>
                    <m:rPr>
                      <m:sty m:val="p"/>
                    </m:rPr>
                    <w:rPr>
                      <w:rFonts w:ascii="Cambria Math" w:hAnsi="Cambria Math"/>
                      <w:sz w:val="16"/>
                      <w:szCs w:val="16"/>
                    </w:rPr>
                    <m:t xml:space="preserve">i  </m:t>
                  </m:r>
                </m:sub>
              </m:sSub>
            </m:e>
          </m:d>
          <m:r>
            <m:rPr>
              <m:sty m:val="p"/>
            </m:rPr>
            <w:rPr>
              <w:rFonts w:ascii="Cambria Math" w:hAnsi="Cambria Math"/>
              <w:sz w:val="16"/>
              <w:szCs w:val="16"/>
            </w:rPr>
            <m:t xml:space="preserve">+ </m:t>
          </m:r>
          <m:sSub>
            <m:sSubPr>
              <m:ctrlPr>
                <w:rPr>
                  <w:rFonts w:ascii="Cambria Math" w:hAnsi="Cambria Math"/>
                  <w:sz w:val="16"/>
                  <w:szCs w:val="16"/>
                </w:rPr>
              </m:ctrlPr>
            </m:sSubPr>
            <m:e>
              <m:r>
                <m:rPr>
                  <m:sty m:val="p"/>
                </m:rPr>
                <w:rPr>
                  <w:rFonts w:ascii="Cambria Math" w:hAnsi="Cambria Math"/>
                  <w:sz w:val="16"/>
                  <w:szCs w:val="16"/>
                </w:rPr>
                <m:t>u</m:t>
              </m:r>
            </m:e>
            <m:sub>
              <m:r>
                <m:rPr>
                  <m:sty m:val="p"/>
                </m:rPr>
                <w:rPr>
                  <w:rFonts w:ascii="Cambria Math" w:hAnsi="Cambria Math"/>
                  <w:sz w:val="16"/>
                  <w:szCs w:val="16"/>
                </w:rPr>
                <m:t xml:space="preserve">i   </m:t>
              </m:r>
            </m:sub>
          </m:sSub>
          <m:r>
            <m:rPr>
              <m:sty m:val="p"/>
            </m:rPr>
            <w:rPr>
              <w:rFonts w:ascii="Cambria Math" w:hAnsi="Cambria Math"/>
              <w:sz w:val="16"/>
              <w:szCs w:val="16"/>
            </w:rPr>
            <m:t xml:space="preserve">  donde i=1,…..,n.</m:t>
          </m:r>
        </m:oMath>
      </m:oMathPara>
    </w:p>
    <w:p w14:paraId="701A373F" w14:textId="72B52735" w:rsidR="00DE36E4" w:rsidRDefault="00442772" w:rsidP="00DE36E4">
      <w:pPr>
        <w:pStyle w:val="NormalWeb"/>
        <w:spacing w:line="360" w:lineRule="auto"/>
        <w:jc w:val="both"/>
        <w:rPr>
          <w:rFonts w:ascii="Times New Roman" w:hAnsi="Times New Roman"/>
          <w:sz w:val="24"/>
          <w:szCs w:val="24"/>
        </w:rPr>
      </w:pPr>
      <w:r w:rsidRPr="009F5B57">
        <w:rPr>
          <w:rFonts w:ascii="Times New Roman" w:hAnsi="Times New Roman"/>
          <w:sz w:val="24"/>
          <w:szCs w:val="24"/>
        </w:rPr>
        <w:t xml:space="preserve">       Donde </w:t>
      </w:r>
      <m:oMath>
        <m:sSub>
          <m:sSubPr>
            <m:ctrlPr>
              <w:rPr>
                <w:rFonts w:ascii="Cambria Math" w:hAnsi="Cambria Math"/>
                <w:sz w:val="16"/>
                <w:szCs w:val="16"/>
              </w:rPr>
            </m:ctrlPr>
          </m:sSubPr>
          <m:e>
            <m:r>
              <m:rPr>
                <m:sty m:val="p"/>
              </m:rPr>
              <w:rPr>
                <w:rFonts w:ascii="Cambria Math" w:hAnsi="Cambria Math"/>
                <w:sz w:val="16"/>
                <w:szCs w:val="16"/>
              </w:rPr>
              <m:t>Z</m:t>
            </m:r>
          </m:e>
          <m:sub>
            <m:eqArr>
              <m:eqArrPr>
                <m:ctrlPr>
                  <w:rPr>
                    <w:rFonts w:ascii="Cambria Math" w:hAnsi="Cambria Math"/>
                    <w:sz w:val="16"/>
                    <w:szCs w:val="16"/>
                  </w:rPr>
                </m:ctrlPr>
              </m:eqArrPr>
              <m:e>
                <m:r>
                  <m:rPr>
                    <m:sty m:val="p"/>
                  </m:rPr>
                  <w:rPr>
                    <w:rFonts w:ascii="Cambria Math" w:hAnsi="Cambria Math"/>
                    <w:sz w:val="16"/>
                    <w:szCs w:val="16"/>
                  </w:rPr>
                  <m:t>i=</m:t>
                </m:r>
              </m:e>
              <m:e>
                <m:r>
                  <m:rPr>
                    <m:sty m:val="p"/>
                  </m:rPr>
                  <w:rPr>
                    <w:rFonts w:ascii="Cambria Math" w:hAnsi="Cambria Math"/>
                    <w:sz w:val="16"/>
                    <w:szCs w:val="16"/>
                  </w:rPr>
                  <m:t xml:space="preserve"> </m:t>
                </m:r>
              </m:e>
            </m:eqArr>
          </m:sub>
        </m:sSub>
        <m:r>
          <w:rPr>
            <w:rFonts w:ascii="Cambria Math" w:hAnsi="Cambria Math"/>
            <w:sz w:val="16"/>
            <w:szCs w:val="16"/>
          </w:rPr>
          <m:t xml:space="preserve"> =</m:t>
        </m:r>
        <m:sSub>
          <m:sSubPr>
            <m:ctrlPr>
              <w:rPr>
                <w:rFonts w:ascii="Cambria Math" w:hAnsi="Cambria Math"/>
                <w:sz w:val="16"/>
                <w:szCs w:val="16"/>
              </w:rPr>
            </m:ctrlPr>
          </m:sSubPr>
          <m:e>
            <m:r>
              <m:rPr>
                <m:sty m:val="p"/>
              </m:rPr>
              <w:rPr>
                <w:rFonts w:ascii="Cambria Math" w:hAnsi="Cambria Math"/>
                <w:sz w:val="16"/>
                <w:szCs w:val="16"/>
              </w:rPr>
              <m:t>β</m:t>
            </m:r>
          </m:e>
          <m:sub>
            <m:r>
              <m:rPr>
                <m:sty m:val="p"/>
              </m:rPr>
              <w:rPr>
                <w:rFonts w:ascii="Cambria Math" w:hAnsi="Cambria Math"/>
                <w:sz w:val="16"/>
                <w:szCs w:val="16"/>
              </w:rPr>
              <m:t xml:space="preserve">1  </m:t>
            </m:r>
          </m:sub>
        </m:sSub>
        <m:r>
          <m:rPr>
            <m:sty m:val="p"/>
          </m:rPr>
          <w:rPr>
            <w:rFonts w:ascii="Cambria Math" w:hAnsi="Cambria Math"/>
            <w:sz w:val="16"/>
            <w:szCs w:val="16"/>
          </w:rPr>
          <m:t xml:space="preserve">+ </m:t>
        </m:r>
        <m:sSub>
          <m:sSubPr>
            <m:ctrlPr>
              <w:rPr>
                <w:rFonts w:ascii="Cambria Math" w:hAnsi="Cambria Math"/>
                <w:sz w:val="16"/>
                <w:szCs w:val="16"/>
              </w:rPr>
            </m:ctrlPr>
          </m:sSubPr>
          <m:e>
            <m:r>
              <m:rPr>
                <m:sty m:val="p"/>
              </m:rPr>
              <w:rPr>
                <w:rFonts w:ascii="Cambria Math" w:hAnsi="Cambria Math"/>
                <w:sz w:val="16"/>
                <w:szCs w:val="16"/>
              </w:rPr>
              <m:t>β</m:t>
            </m:r>
          </m:e>
          <m:sub>
            <m:r>
              <m:rPr>
                <m:sty m:val="p"/>
              </m:rPr>
              <w:rPr>
                <w:rFonts w:ascii="Cambria Math" w:hAnsi="Cambria Math"/>
                <w:sz w:val="16"/>
                <w:szCs w:val="16"/>
              </w:rPr>
              <m:t xml:space="preserve">2  </m:t>
            </m:r>
          </m:sub>
        </m:sSub>
        <m:r>
          <m:rPr>
            <m:sty m:val="p"/>
          </m:rPr>
          <w:rPr>
            <w:rFonts w:ascii="Cambria Math" w:hAnsi="Cambria Math"/>
            <w:sz w:val="16"/>
            <w:szCs w:val="16"/>
          </w:rPr>
          <m:t>dsexo+</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3</m:t>
            </m:r>
          </m:sub>
        </m:sSub>
        <m:r>
          <m:rPr>
            <m:sty m:val="p"/>
          </m:rPr>
          <w:rPr>
            <w:rFonts w:ascii="Cambria Math" w:hAnsi="Cambria Math"/>
            <w:sz w:val="16"/>
            <w:szCs w:val="16"/>
          </w:rPr>
          <m:t>edad13+</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4</m:t>
            </m:r>
          </m:sub>
        </m:sSub>
        <m:r>
          <m:rPr>
            <m:sty m:val="p"/>
          </m:rPr>
          <w:rPr>
            <w:rFonts w:ascii="Cambria Math" w:hAnsi="Cambria Math"/>
            <w:sz w:val="16"/>
            <w:szCs w:val="16"/>
          </w:rPr>
          <m:t>edad14++</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5</m:t>
            </m:r>
          </m:sub>
        </m:sSub>
        <m:r>
          <m:rPr>
            <m:sty m:val="p"/>
          </m:rPr>
          <w:rPr>
            <w:rFonts w:ascii="Cambria Math" w:hAnsi="Cambria Math"/>
            <w:sz w:val="16"/>
            <w:szCs w:val="16"/>
          </w:rPr>
          <m:t>edad15+</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6</m:t>
            </m:r>
          </m:sub>
        </m:sSub>
        <m:r>
          <m:rPr>
            <m:sty m:val="p"/>
          </m:rPr>
          <w:rPr>
            <w:rFonts w:ascii="Cambria Math" w:hAnsi="Cambria Math"/>
            <w:sz w:val="16"/>
            <w:szCs w:val="16"/>
          </w:rPr>
          <m:t>edad16+</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7</m:t>
            </m:r>
          </m:sub>
        </m:sSub>
        <m:r>
          <m:rPr>
            <m:sty m:val="p"/>
          </m:rPr>
          <w:rPr>
            <w:rFonts w:ascii="Cambria Math" w:hAnsi="Cambria Math"/>
            <w:sz w:val="16"/>
            <w:szCs w:val="16"/>
          </w:rPr>
          <m:t>edad17+</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8</m:t>
            </m:r>
          </m:sub>
        </m:sSub>
        <m:r>
          <m:rPr>
            <m:sty m:val="p"/>
          </m:rPr>
          <w:rPr>
            <w:rFonts w:ascii="Cambria Math" w:hAnsi="Cambria Math"/>
            <w:sz w:val="16"/>
            <w:szCs w:val="16"/>
          </w:rPr>
          <m:t>edad18+</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9</m:t>
            </m:r>
          </m:sub>
        </m:sSub>
        <m:r>
          <m:rPr>
            <m:sty m:val="p"/>
          </m:rPr>
          <w:rPr>
            <w:rFonts w:ascii="Cambria Math" w:hAnsi="Cambria Math"/>
            <w:sz w:val="16"/>
            <w:szCs w:val="16"/>
          </w:rPr>
          <m:t>edad19+</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10</m:t>
            </m:r>
          </m:sub>
        </m:sSub>
        <m:r>
          <m:rPr>
            <m:sty m:val="p"/>
          </m:rPr>
          <w:rPr>
            <w:rFonts w:ascii="Cambria Math" w:hAnsi="Cambria Math"/>
            <w:sz w:val="16"/>
            <w:szCs w:val="16"/>
          </w:rPr>
          <m:t>dregio2+</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11</m:t>
            </m:r>
          </m:sub>
        </m:sSub>
        <m:r>
          <m:rPr>
            <m:sty m:val="p"/>
          </m:rPr>
          <w:rPr>
            <w:rFonts w:ascii="Cambria Math" w:hAnsi="Cambria Math"/>
            <w:sz w:val="16"/>
            <w:szCs w:val="16"/>
          </w:rPr>
          <m:t>dregion3+</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12</m:t>
            </m:r>
          </m:sub>
        </m:sSub>
        <m:r>
          <m:rPr>
            <m:sty m:val="p"/>
          </m:rPr>
          <w:rPr>
            <w:rFonts w:ascii="Cambria Math" w:hAnsi="Cambria Math"/>
            <w:sz w:val="16"/>
            <w:szCs w:val="16"/>
          </w:rPr>
          <m:t>dregion4+</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13</m:t>
            </m:r>
          </m:sub>
        </m:sSub>
        <m:r>
          <m:rPr>
            <m:sty m:val="p"/>
          </m:rPr>
          <w:rPr>
            <w:rFonts w:ascii="Cambria Math" w:hAnsi="Cambria Math"/>
            <w:sz w:val="16"/>
            <w:szCs w:val="16"/>
          </w:rPr>
          <m:t>durbano2+</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14</m:t>
            </m:r>
          </m:sub>
        </m:sSub>
        <m:r>
          <m:rPr>
            <m:sty m:val="p"/>
          </m:rPr>
          <w:rPr>
            <w:rFonts w:ascii="Cambria Math" w:hAnsi="Cambria Math"/>
            <w:sz w:val="16"/>
            <w:szCs w:val="16"/>
          </w:rPr>
          <m:t>durbano3+</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15</m:t>
            </m:r>
          </m:sub>
        </m:sSub>
        <m:r>
          <m:rPr>
            <m:sty m:val="p"/>
          </m:rPr>
          <w:rPr>
            <w:rFonts w:ascii="Cambria Math" w:hAnsi="Cambria Math"/>
            <w:sz w:val="16"/>
            <w:szCs w:val="16"/>
          </w:rPr>
          <m:t>quintil2+</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16</m:t>
            </m:r>
          </m:sub>
        </m:sSub>
        <m:r>
          <m:rPr>
            <m:sty m:val="p"/>
          </m:rPr>
          <w:rPr>
            <w:rFonts w:ascii="Cambria Math" w:hAnsi="Cambria Math"/>
            <w:sz w:val="16"/>
            <w:szCs w:val="16"/>
          </w:rPr>
          <m:t>quintil3+</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17</m:t>
            </m:r>
          </m:sub>
        </m:sSub>
        <m:r>
          <m:rPr>
            <m:sty m:val="p"/>
          </m:rPr>
          <w:rPr>
            <w:rFonts w:ascii="Cambria Math" w:hAnsi="Cambria Math"/>
            <w:sz w:val="16"/>
            <w:szCs w:val="16"/>
          </w:rPr>
          <m:t>quintil4+</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18</m:t>
            </m:r>
          </m:sub>
        </m:sSub>
        <m:r>
          <m:rPr>
            <m:sty m:val="p"/>
          </m:rPr>
          <w:rPr>
            <w:rFonts w:ascii="Cambria Math" w:hAnsi="Cambria Math"/>
            <w:sz w:val="16"/>
            <w:szCs w:val="16"/>
          </w:rPr>
          <m:t>quintil5+</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19</m:t>
            </m:r>
          </m:sub>
        </m:sSub>
        <m:r>
          <m:rPr>
            <m:sty m:val="p"/>
          </m:rPr>
          <w:rPr>
            <w:rFonts w:ascii="Cambria Math" w:hAnsi="Cambria Math"/>
            <w:sz w:val="16"/>
            <w:szCs w:val="16"/>
          </w:rPr>
          <m:t>dmarginalidad+</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20</m:t>
            </m:r>
          </m:sub>
        </m:sSub>
        <m:r>
          <m:rPr>
            <m:sty m:val="p"/>
          </m:rPr>
          <w:rPr>
            <w:rFonts w:ascii="Cambria Math" w:hAnsi="Cambria Math"/>
            <w:sz w:val="16"/>
            <w:szCs w:val="16"/>
          </w:rPr>
          <m:t>dindigena+</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21</m:t>
            </m:r>
          </m:sub>
        </m:sSub>
        <m:r>
          <m:rPr>
            <m:sty m:val="p"/>
          </m:rPr>
          <w:rPr>
            <w:rFonts w:ascii="Cambria Math" w:hAnsi="Cambria Math"/>
            <w:sz w:val="16"/>
            <w:szCs w:val="16"/>
          </w:rPr>
          <m:t>dvivepadres+</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22</m:t>
            </m:r>
          </m:sub>
        </m:sSub>
        <m:r>
          <m:rPr>
            <m:sty m:val="p"/>
          </m:rPr>
          <w:rPr>
            <w:rFonts w:ascii="Cambria Math" w:hAnsi="Cambria Math"/>
            <w:sz w:val="16"/>
            <w:szCs w:val="16"/>
          </w:rPr>
          <m:t>anemia+</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23</m:t>
            </m:r>
          </m:sub>
        </m:sSub>
        <m:r>
          <m:rPr>
            <m:sty m:val="p"/>
          </m:rPr>
          <w:rPr>
            <w:rFonts w:ascii="Cambria Math" w:hAnsi="Cambria Math"/>
            <w:sz w:val="16"/>
            <w:szCs w:val="16"/>
          </w:rPr>
          <m:t>afiliaciondummy+</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24</m:t>
            </m:r>
          </m:sub>
        </m:sSub>
        <m:r>
          <m:rPr>
            <m:sty m:val="p"/>
          </m:rPr>
          <w:rPr>
            <w:rFonts w:ascii="Cambria Math" w:hAnsi="Cambria Math"/>
            <w:sz w:val="16"/>
            <w:szCs w:val="16"/>
          </w:rPr>
          <m:t>madreultimonivel +</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25</m:t>
            </m:r>
          </m:sub>
        </m:sSub>
        <m:r>
          <m:rPr>
            <m:sty m:val="p"/>
          </m:rPr>
          <w:rPr>
            <w:rFonts w:ascii="Cambria Math" w:hAnsi="Cambria Math"/>
            <w:sz w:val="16"/>
            <w:szCs w:val="16"/>
          </w:rPr>
          <m:t>padreultimonivel+</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26</m:t>
            </m:r>
          </m:sub>
        </m:sSub>
        <m:r>
          <m:rPr>
            <m:sty m:val="p"/>
          </m:rPr>
          <w:rPr>
            <w:rFonts w:ascii="Cambria Math" w:hAnsi="Cambria Math"/>
            <w:sz w:val="16"/>
            <w:szCs w:val="16"/>
          </w:rPr>
          <m:t>madrehrtrabajo+</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27</m:t>
            </m:r>
          </m:sub>
        </m:sSub>
        <m:r>
          <m:rPr>
            <m:sty m:val="p"/>
          </m:rPr>
          <w:rPr>
            <w:rFonts w:ascii="Cambria Math" w:hAnsi="Cambria Math"/>
            <w:sz w:val="16"/>
            <w:szCs w:val="16"/>
          </w:rPr>
          <m:t>padrehrtrabajo</m:t>
        </m:r>
      </m:oMath>
    </w:p>
    <w:p w14:paraId="488FC8D4" w14:textId="18C39E8F" w:rsidR="0010107F" w:rsidRPr="00051BD3" w:rsidRDefault="00051BD3" w:rsidP="00DE36E4">
      <w:pPr>
        <w:pStyle w:val="NormalWeb"/>
        <w:spacing w:line="360" w:lineRule="auto"/>
        <w:jc w:val="both"/>
        <w:rPr>
          <w:rFonts w:ascii="Times New Roman" w:hAnsi="Times New Roman"/>
          <w:sz w:val="24"/>
          <w:szCs w:val="24"/>
        </w:rPr>
      </w:pPr>
      <w:r>
        <w:rPr>
          <w:rFonts w:ascii="Times New Roman" w:hAnsi="Times New Roman"/>
          <w:b/>
          <w:sz w:val="24"/>
          <w:szCs w:val="24"/>
        </w:rPr>
        <w:t>Capí</w:t>
      </w:r>
      <w:r w:rsidR="007B4266">
        <w:rPr>
          <w:rFonts w:ascii="Times New Roman" w:hAnsi="Times New Roman"/>
          <w:b/>
          <w:sz w:val="24"/>
          <w:szCs w:val="24"/>
        </w:rPr>
        <w:t>tulo 5 Resultados</w:t>
      </w:r>
      <w:r w:rsidR="00442772" w:rsidRPr="00051BD3">
        <w:rPr>
          <w:rFonts w:ascii="Times New Roman" w:hAnsi="Times New Roman"/>
          <w:b/>
          <w:sz w:val="24"/>
          <w:szCs w:val="24"/>
        </w:rPr>
        <w:t xml:space="preserve"> </w:t>
      </w:r>
    </w:p>
    <w:p w14:paraId="7251A67E" w14:textId="77777777" w:rsidR="0010107F" w:rsidRPr="009F5B57" w:rsidRDefault="0010107F" w:rsidP="009F5B57">
      <w:pPr>
        <w:pStyle w:val="NormalWeb"/>
        <w:spacing w:line="360" w:lineRule="auto"/>
        <w:ind w:firstLine="709"/>
        <w:jc w:val="both"/>
        <w:rPr>
          <w:rFonts w:ascii="Times New Roman" w:hAnsi="Times New Roman"/>
          <w:sz w:val="24"/>
          <w:szCs w:val="24"/>
        </w:rPr>
      </w:pPr>
      <w:r w:rsidRPr="009F5B57">
        <w:rPr>
          <w:rFonts w:ascii="Times New Roman" w:hAnsi="Times New Roman"/>
          <w:sz w:val="24"/>
          <w:szCs w:val="24"/>
        </w:rPr>
        <w:t>Asistencia a la escuela</w:t>
      </w:r>
    </w:p>
    <w:p w14:paraId="427B8588" w14:textId="6D80E429" w:rsidR="00B90BD2" w:rsidRPr="009F5B57" w:rsidRDefault="00C17C30" w:rsidP="00051BD3">
      <w:pPr>
        <w:pStyle w:val="NormalWeb"/>
        <w:spacing w:line="360" w:lineRule="auto"/>
        <w:ind w:firstLine="709"/>
        <w:jc w:val="both"/>
        <w:rPr>
          <w:rFonts w:ascii="Times New Roman" w:hAnsi="Times New Roman"/>
          <w:sz w:val="24"/>
          <w:szCs w:val="24"/>
        </w:rPr>
      </w:pPr>
      <w:r w:rsidRPr="009F5B57">
        <w:rPr>
          <w:rFonts w:ascii="Times New Roman" w:hAnsi="Times New Roman"/>
          <w:sz w:val="24"/>
          <w:szCs w:val="24"/>
        </w:rPr>
        <w:t>Para explicar la asistencia, existe una diferencia entre hombres y mujeres puesto que el efecto de la anemia solo se refleja en las mujeres, no existe una</w:t>
      </w:r>
      <w:r w:rsidR="00953CDE" w:rsidRPr="009F5B57">
        <w:rPr>
          <w:rFonts w:ascii="Times New Roman" w:hAnsi="Times New Roman"/>
          <w:sz w:val="24"/>
          <w:szCs w:val="24"/>
        </w:rPr>
        <w:t xml:space="preserve"> razón para asociar la inasistencia del género masculino debido a la anemia</w:t>
      </w:r>
      <w:r w:rsidR="005116ED" w:rsidRPr="009F5B57">
        <w:rPr>
          <w:rFonts w:ascii="Times New Roman" w:hAnsi="Times New Roman"/>
          <w:sz w:val="24"/>
          <w:szCs w:val="24"/>
        </w:rPr>
        <w:t xml:space="preserve">. </w:t>
      </w:r>
      <w:r w:rsidR="0010194C" w:rsidRPr="009F5B57">
        <w:rPr>
          <w:rFonts w:ascii="Times New Roman" w:hAnsi="Times New Roman"/>
          <w:sz w:val="24"/>
          <w:szCs w:val="24"/>
        </w:rPr>
        <w:t>Entre mayor sea la edad, tiende a e</w:t>
      </w:r>
      <w:r w:rsidR="002F66FE" w:rsidRPr="009F5B57">
        <w:rPr>
          <w:rFonts w:ascii="Times New Roman" w:hAnsi="Times New Roman"/>
          <w:sz w:val="24"/>
          <w:szCs w:val="24"/>
        </w:rPr>
        <w:t xml:space="preserve">xistir un porcentaje mayor de </w:t>
      </w:r>
      <w:r w:rsidR="00487A98" w:rsidRPr="009F5B57">
        <w:rPr>
          <w:rFonts w:ascii="Times New Roman" w:hAnsi="Times New Roman"/>
          <w:sz w:val="24"/>
          <w:szCs w:val="24"/>
        </w:rPr>
        <w:t>in</w:t>
      </w:r>
      <w:r w:rsidR="0010194C" w:rsidRPr="009F5B57">
        <w:rPr>
          <w:rFonts w:ascii="Times New Roman" w:hAnsi="Times New Roman"/>
          <w:sz w:val="24"/>
          <w:szCs w:val="24"/>
        </w:rPr>
        <w:t>asistencia a la esc</w:t>
      </w:r>
      <w:r w:rsidR="00F703BD" w:rsidRPr="009F5B57">
        <w:rPr>
          <w:rFonts w:ascii="Times New Roman" w:hAnsi="Times New Roman"/>
          <w:sz w:val="24"/>
          <w:szCs w:val="24"/>
        </w:rPr>
        <w:t>uela, siendo en los hombres</w:t>
      </w:r>
      <w:r w:rsidR="00C128C4" w:rsidRPr="009F5B57">
        <w:rPr>
          <w:rFonts w:ascii="Times New Roman" w:hAnsi="Times New Roman"/>
          <w:sz w:val="24"/>
          <w:szCs w:val="24"/>
        </w:rPr>
        <w:t xml:space="preserve"> mayor que </w:t>
      </w:r>
      <w:r w:rsidR="00C128C4" w:rsidRPr="009F5B57">
        <w:rPr>
          <w:rFonts w:ascii="Times New Roman" w:hAnsi="Times New Roman"/>
          <w:sz w:val="24"/>
          <w:szCs w:val="24"/>
        </w:rPr>
        <w:lastRenderedPageBreak/>
        <w:t>en las mujeres</w:t>
      </w:r>
      <w:r w:rsidR="0010194C" w:rsidRPr="009F5B57">
        <w:rPr>
          <w:rFonts w:ascii="Times New Roman" w:hAnsi="Times New Roman"/>
          <w:sz w:val="24"/>
          <w:szCs w:val="24"/>
        </w:rPr>
        <w:t>.</w:t>
      </w:r>
      <w:r w:rsidR="00C128C4" w:rsidRPr="009F5B57">
        <w:rPr>
          <w:rFonts w:ascii="Times New Roman" w:hAnsi="Times New Roman"/>
          <w:sz w:val="24"/>
          <w:szCs w:val="24"/>
        </w:rPr>
        <w:t xml:space="preserve"> En resumen, entre más pasan l</w:t>
      </w:r>
      <w:r w:rsidR="00F703BD" w:rsidRPr="009F5B57">
        <w:rPr>
          <w:rFonts w:ascii="Times New Roman" w:hAnsi="Times New Roman"/>
          <w:sz w:val="24"/>
          <w:szCs w:val="24"/>
        </w:rPr>
        <w:t>os años, mayores probabilidades</w:t>
      </w:r>
      <w:r w:rsidR="00C128C4" w:rsidRPr="009F5B57">
        <w:rPr>
          <w:rFonts w:ascii="Times New Roman" w:hAnsi="Times New Roman"/>
          <w:sz w:val="24"/>
          <w:szCs w:val="24"/>
        </w:rPr>
        <w:t xml:space="preserve"> tienen los jóvenes de dejar de asistir a la escuela. </w:t>
      </w:r>
    </w:p>
    <w:p w14:paraId="0048901F" w14:textId="0624102E" w:rsidR="009B20D2" w:rsidRDefault="009B20D2" w:rsidP="00051BD3">
      <w:pPr>
        <w:spacing w:line="360" w:lineRule="auto"/>
        <w:ind w:left="1418"/>
        <w:rPr>
          <w:rFonts w:ascii="Times New Roman" w:hAnsi="Times New Roman" w:cs="Times New Roman"/>
          <w:sz w:val="12"/>
          <w:szCs w:val="12"/>
        </w:rPr>
      </w:pPr>
      <w:r w:rsidRPr="009F5B57">
        <w:rPr>
          <w:rFonts w:ascii="Times New Roman" w:hAnsi="Times New Roman" w:cs="Times New Roman"/>
          <w:noProof/>
          <w:lang w:val="es-ES"/>
        </w:rPr>
        <w:drawing>
          <wp:inline distT="0" distB="0" distL="0" distR="0" wp14:anchorId="577C5E41" wp14:editId="35AF841A">
            <wp:extent cx="3097530" cy="1778582"/>
            <wp:effectExtent l="0" t="0" r="26670" b="25400"/>
            <wp:docPr id="42" name="Gráfico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682B91" w:rsidRPr="009F5B57">
        <w:rPr>
          <w:rFonts w:ascii="Times New Roman" w:hAnsi="Times New Roman" w:cs="Times New Roman"/>
          <w:noProof/>
          <w:lang w:val="es-ES"/>
        </w:rPr>
        <mc:AlternateContent>
          <mc:Choice Requires="wps">
            <w:drawing>
              <wp:anchor distT="0" distB="0" distL="114300" distR="114300" simplePos="0" relativeHeight="251665408" behindDoc="0" locked="0" layoutInCell="1" allowOverlap="1" wp14:anchorId="21DFE717" wp14:editId="24C6B714">
                <wp:simplePos x="0" y="0"/>
                <wp:positionH relativeFrom="column">
                  <wp:posOffset>0</wp:posOffset>
                </wp:positionH>
                <wp:positionV relativeFrom="paragraph">
                  <wp:posOffset>8115300</wp:posOffset>
                </wp:positionV>
                <wp:extent cx="2286000" cy="228600"/>
                <wp:effectExtent l="0" t="0" r="0" b="0"/>
                <wp:wrapSquare wrapText="bothSides"/>
                <wp:docPr id="9" name="Cuadro de texto 9"/>
                <wp:cNvGraphicFramePr/>
                <a:graphic xmlns:a="http://schemas.openxmlformats.org/drawingml/2006/main">
                  <a:graphicData uri="http://schemas.microsoft.com/office/word/2010/wordprocessingShape">
                    <wps:wsp>
                      <wps:cNvSpPr txBox="1"/>
                      <wps:spPr>
                        <a:xfrm>
                          <a:off x="0" y="0"/>
                          <a:ext cx="22860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3BC06B" w14:textId="77777777" w:rsidR="00866528" w:rsidRDefault="008665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9" o:spid="_x0000_s1027" type="#_x0000_t202" style="position:absolute;left:0;text-align:left;margin-left:0;margin-top:639pt;width:180pt;height:1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" filled="f" stroked="f">
                <v:textbox>
                  <w:txbxContent>
                    <w:p w14:paraId="083BC06B" w14:textId="77777777" w:rsidR="00866528" w:rsidRDefault="00866528"/>
                  </w:txbxContent>
                </v:textbox>
                <w10:wrap type="square"/>
              </v:shape>
            </w:pict>
          </mc:Fallback>
        </mc:AlternateContent>
      </w:r>
    </w:p>
    <w:p w14:paraId="0E389BB2" w14:textId="3A86FAC2" w:rsidR="00682B91" w:rsidRPr="00051BD3" w:rsidRDefault="00682B91" w:rsidP="00051BD3">
      <w:pPr>
        <w:spacing w:line="360" w:lineRule="auto"/>
        <w:ind w:left="1418"/>
        <w:rPr>
          <w:rFonts w:ascii="Times New Roman" w:hAnsi="Times New Roman" w:cs="Times New Roman"/>
          <w:lang w:val="es-ES"/>
        </w:rPr>
      </w:pPr>
      <w:r w:rsidRPr="009B20D2">
        <w:rPr>
          <w:rFonts w:ascii="Times New Roman" w:hAnsi="Times New Roman" w:cs="Times New Roman"/>
          <w:sz w:val="12"/>
          <w:szCs w:val="12"/>
        </w:rPr>
        <w:t xml:space="preserve">5 </w:t>
      </w:r>
      <w:r w:rsidRPr="009B20D2">
        <w:rPr>
          <w:rFonts w:ascii="Times New Roman" w:hAnsi="Times New Roman" w:cs="Times New Roman"/>
          <w:sz w:val="12"/>
          <w:szCs w:val="12"/>
          <w:lang w:val="es-ES"/>
        </w:rPr>
        <w:t>Creación propia con base a datos de la encuesta ENSANUT, 2012.</w:t>
      </w:r>
    </w:p>
    <w:p w14:paraId="2E3DD694" w14:textId="77777777" w:rsidR="001578D4" w:rsidRPr="009F5B57" w:rsidRDefault="001578D4" w:rsidP="009F5B57">
      <w:pPr>
        <w:pStyle w:val="NormalWeb"/>
        <w:spacing w:line="360" w:lineRule="auto"/>
        <w:ind w:firstLine="709"/>
        <w:jc w:val="both"/>
        <w:rPr>
          <w:rFonts w:ascii="Times New Roman" w:hAnsi="Times New Roman"/>
          <w:sz w:val="24"/>
          <w:szCs w:val="24"/>
        </w:rPr>
      </w:pPr>
      <w:r w:rsidRPr="009F5B57">
        <w:rPr>
          <w:rFonts w:ascii="Times New Roman" w:hAnsi="Times New Roman"/>
          <w:sz w:val="24"/>
          <w:szCs w:val="24"/>
        </w:rPr>
        <w:t xml:space="preserve">Las regiones 3 y 4 que corresponden al DF y a la zona sur del país, son las que tienen mayor propensión a tener inasistencia por parte de los jóvenes en edad educativa. </w:t>
      </w:r>
    </w:p>
    <w:p w14:paraId="5BA1D848" w14:textId="2935FD14" w:rsidR="0010194C" w:rsidRPr="009F5B57" w:rsidRDefault="001578D4" w:rsidP="009F5B57">
      <w:pPr>
        <w:pStyle w:val="NormalWeb"/>
        <w:spacing w:line="360" w:lineRule="auto"/>
        <w:ind w:firstLine="709"/>
        <w:jc w:val="both"/>
        <w:rPr>
          <w:rFonts w:ascii="Times New Roman" w:hAnsi="Times New Roman"/>
          <w:sz w:val="24"/>
          <w:szCs w:val="24"/>
        </w:rPr>
      </w:pPr>
      <w:r w:rsidRPr="009F5B57">
        <w:rPr>
          <w:rFonts w:ascii="Times New Roman" w:hAnsi="Times New Roman"/>
          <w:sz w:val="24"/>
          <w:szCs w:val="24"/>
        </w:rPr>
        <w:t>Otro punto clave es que las localidades de 2</w:t>
      </w:r>
      <w:r w:rsidR="00051BD3">
        <w:rPr>
          <w:rFonts w:ascii="Times New Roman" w:hAnsi="Times New Roman"/>
          <w:sz w:val="24"/>
          <w:szCs w:val="24"/>
        </w:rPr>
        <w:t xml:space="preserve"> 500 habitantes a 100 </w:t>
      </w:r>
      <w:r w:rsidRPr="009F5B57">
        <w:rPr>
          <w:rFonts w:ascii="Times New Roman" w:hAnsi="Times New Roman"/>
          <w:sz w:val="24"/>
          <w:szCs w:val="24"/>
        </w:rPr>
        <w:t>000 son las que presentan un porcentaje mayor de inasistencia.</w:t>
      </w:r>
      <w:r w:rsidR="00051BD3">
        <w:rPr>
          <w:rFonts w:ascii="Times New Roman" w:hAnsi="Times New Roman"/>
          <w:sz w:val="24"/>
          <w:szCs w:val="24"/>
        </w:rPr>
        <w:t xml:space="preserve"> L</w:t>
      </w:r>
      <w:r w:rsidRPr="009F5B57">
        <w:rPr>
          <w:rFonts w:ascii="Times New Roman" w:hAnsi="Times New Roman"/>
          <w:sz w:val="24"/>
          <w:szCs w:val="24"/>
        </w:rPr>
        <w:t>os resultados arrojan que entre mayor sea el quintil socioeconómico al cual pertenezca, mayor es la asistencia a la escuela.</w:t>
      </w:r>
      <w:r w:rsidR="00307CEB" w:rsidRPr="009F5B57">
        <w:rPr>
          <w:rFonts w:ascii="Times New Roman" w:hAnsi="Times New Roman"/>
          <w:sz w:val="24"/>
          <w:szCs w:val="24"/>
        </w:rPr>
        <w:t xml:space="preserve"> Al seguir interpretando las situaciones socioeconómicas, se encontró que hay una relación negativa entre la marginalidad y la asistencia a la escuela, puesto que si la persona vive marginada, tiene mayor probabilidad de dejar de asistir a la escuela ( por cada 1% que aumenta la marginalidad, la probabilidad de dejar de asistir es 0.05% para las mujeres y 0.07% para los hombres)</w:t>
      </w:r>
    </w:p>
    <w:p w14:paraId="2729F102" w14:textId="7BAFBE99" w:rsidR="00307CEB" w:rsidRPr="009F5B57" w:rsidRDefault="00307CEB" w:rsidP="009F5B57">
      <w:pPr>
        <w:pStyle w:val="NormalWeb"/>
        <w:spacing w:line="360" w:lineRule="auto"/>
        <w:ind w:firstLine="709"/>
        <w:jc w:val="both"/>
        <w:rPr>
          <w:rFonts w:ascii="Times New Roman" w:hAnsi="Times New Roman"/>
          <w:sz w:val="24"/>
          <w:szCs w:val="24"/>
        </w:rPr>
      </w:pPr>
      <w:r w:rsidRPr="009F5B57">
        <w:rPr>
          <w:rFonts w:ascii="Times New Roman" w:hAnsi="Times New Roman"/>
          <w:sz w:val="24"/>
          <w:szCs w:val="24"/>
        </w:rPr>
        <w:t>Ya se mencionó con anterioridad que para el sexo mas</w:t>
      </w:r>
      <w:r w:rsidR="00D51536" w:rsidRPr="009F5B57">
        <w:rPr>
          <w:rFonts w:ascii="Times New Roman" w:hAnsi="Times New Roman"/>
          <w:sz w:val="24"/>
          <w:szCs w:val="24"/>
        </w:rPr>
        <w:t>c</w:t>
      </w:r>
      <w:r w:rsidRPr="009F5B57">
        <w:rPr>
          <w:rFonts w:ascii="Times New Roman" w:hAnsi="Times New Roman"/>
          <w:sz w:val="24"/>
          <w:szCs w:val="24"/>
        </w:rPr>
        <w:t>ulino, la anemia no es un factor por el cual dejen de asistir, sin embargo, p</w:t>
      </w:r>
      <w:r w:rsidR="00C17C30" w:rsidRPr="009F5B57">
        <w:rPr>
          <w:rFonts w:ascii="Times New Roman" w:hAnsi="Times New Roman"/>
          <w:sz w:val="24"/>
          <w:szCs w:val="24"/>
        </w:rPr>
        <w:t>ara el caso de las mujeres, si la anemia aumenta en 1 %., la probabilidad de</w:t>
      </w:r>
      <w:r w:rsidR="0088617D" w:rsidRPr="009F5B57">
        <w:rPr>
          <w:rFonts w:ascii="Times New Roman" w:hAnsi="Times New Roman"/>
          <w:sz w:val="24"/>
          <w:szCs w:val="24"/>
        </w:rPr>
        <w:t xml:space="preserve"> </w:t>
      </w:r>
      <w:r w:rsidR="00C17C30" w:rsidRPr="009F5B57">
        <w:rPr>
          <w:rFonts w:ascii="Times New Roman" w:hAnsi="Times New Roman"/>
          <w:sz w:val="24"/>
          <w:szCs w:val="24"/>
        </w:rPr>
        <w:t xml:space="preserve">no asistir a la escuela aumenta en .06%. </w:t>
      </w:r>
    </w:p>
    <w:p w14:paraId="776ADB36" w14:textId="602C385A" w:rsidR="00307CEB" w:rsidRPr="009F5B57" w:rsidRDefault="00AC5FFA" w:rsidP="009F5B57">
      <w:pPr>
        <w:pStyle w:val="NormalWeb"/>
        <w:spacing w:line="360" w:lineRule="auto"/>
        <w:ind w:firstLine="709"/>
        <w:jc w:val="both"/>
        <w:rPr>
          <w:rFonts w:ascii="Times New Roman" w:hAnsi="Times New Roman"/>
          <w:sz w:val="24"/>
          <w:szCs w:val="24"/>
        </w:rPr>
      </w:pPr>
      <w:r w:rsidRPr="009F5B57">
        <w:rPr>
          <w:rFonts w:ascii="Times New Roman" w:hAnsi="Times New Roman"/>
          <w:sz w:val="24"/>
          <w:szCs w:val="24"/>
        </w:rPr>
        <w:t>Del total de las mujeres</w:t>
      </w:r>
      <w:r w:rsidR="00C17C30" w:rsidRPr="009F5B57">
        <w:rPr>
          <w:rFonts w:ascii="Times New Roman" w:hAnsi="Times New Roman"/>
          <w:sz w:val="24"/>
          <w:szCs w:val="24"/>
        </w:rPr>
        <w:t xml:space="preserve"> 5.4 % con anemia viven en la región 4 </w:t>
      </w:r>
      <w:r w:rsidR="00307CEB" w:rsidRPr="009F5B57">
        <w:rPr>
          <w:rFonts w:ascii="Times New Roman" w:hAnsi="Times New Roman"/>
          <w:sz w:val="24"/>
          <w:szCs w:val="24"/>
        </w:rPr>
        <w:t>(que fue la región con mayor concentración)</w:t>
      </w:r>
      <w:r w:rsidR="00C17C30" w:rsidRPr="009F5B57">
        <w:rPr>
          <w:rFonts w:ascii="Times New Roman" w:hAnsi="Times New Roman"/>
          <w:sz w:val="24"/>
          <w:szCs w:val="24"/>
        </w:rPr>
        <w:t xml:space="preserve"> y en la región 3 </w:t>
      </w:r>
      <w:r w:rsidRPr="009F5B57">
        <w:rPr>
          <w:rFonts w:ascii="Times New Roman" w:hAnsi="Times New Roman"/>
          <w:sz w:val="24"/>
          <w:szCs w:val="24"/>
        </w:rPr>
        <w:t>fue del</w:t>
      </w:r>
      <w:r w:rsidR="00C17C30" w:rsidRPr="009F5B57">
        <w:rPr>
          <w:rFonts w:ascii="Times New Roman" w:hAnsi="Times New Roman"/>
          <w:sz w:val="24"/>
          <w:szCs w:val="24"/>
        </w:rPr>
        <w:t xml:space="preserve"> 5.1 % </w:t>
      </w:r>
      <w:r w:rsidR="00307CEB" w:rsidRPr="009F5B57">
        <w:rPr>
          <w:rFonts w:ascii="Times New Roman" w:hAnsi="Times New Roman"/>
          <w:sz w:val="24"/>
          <w:szCs w:val="24"/>
        </w:rPr>
        <w:t>, de las cuales la mayoría son pertenecientes al quintil 2.</w:t>
      </w:r>
    </w:p>
    <w:p w14:paraId="5F09194D" w14:textId="173ABF56" w:rsidR="00C17C30" w:rsidRPr="009F5B57" w:rsidRDefault="00C17C30" w:rsidP="00051BD3">
      <w:pPr>
        <w:pStyle w:val="NormalWeb"/>
        <w:spacing w:line="360" w:lineRule="auto"/>
        <w:ind w:firstLine="709"/>
        <w:jc w:val="both"/>
        <w:rPr>
          <w:rFonts w:ascii="Times New Roman" w:hAnsi="Times New Roman"/>
          <w:sz w:val="24"/>
          <w:szCs w:val="24"/>
        </w:rPr>
      </w:pPr>
      <w:r w:rsidRPr="009F5B57">
        <w:rPr>
          <w:rFonts w:ascii="Times New Roman" w:hAnsi="Times New Roman"/>
          <w:sz w:val="24"/>
          <w:szCs w:val="24"/>
        </w:rPr>
        <w:t xml:space="preserve"> </w:t>
      </w:r>
      <w:r w:rsidR="002F66FE" w:rsidRPr="009F5B57">
        <w:rPr>
          <w:rFonts w:ascii="Times New Roman" w:hAnsi="Times New Roman"/>
          <w:sz w:val="24"/>
          <w:szCs w:val="24"/>
        </w:rPr>
        <w:t xml:space="preserve">Para ambos sexos resulta significativo el vivir con los padres y tener algún tipo de afiliación a seguridad social, haciendo que esto fomente o favorezca a la asistencia escolar. </w:t>
      </w:r>
      <w:r w:rsidR="002F66FE" w:rsidRPr="009F5B57">
        <w:rPr>
          <w:rFonts w:ascii="Times New Roman" w:hAnsi="Times New Roman"/>
          <w:sz w:val="24"/>
          <w:szCs w:val="24"/>
        </w:rPr>
        <w:lastRenderedPageBreak/>
        <w:t>Hay una observación en cuanto a cultura se refiere ya que en el caso de las mujeres el hablar una lengua indígena (tomando esta variable como un indicador de cultura) tiene un efecto negativo en cuanto a asistencia se refiere.</w:t>
      </w:r>
    </w:p>
    <w:p w14:paraId="6EAE181D" w14:textId="77777777" w:rsidR="0010107F" w:rsidRPr="009F5B57" w:rsidRDefault="0010107F" w:rsidP="009F5B57">
      <w:pPr>
        <w:pStyle w:val="NormalWeb"/>
        <w:spacing w:line="360" w:lineRule="auto"/>
        <w:ind w:firstLine="709"/>
        <w:jc w:val="both"/>
        <w:rPr>
          <w:rFonts w:ascii="Times New Roman" w:hAnsi="Times New Roman"/>
          <w:sz w:val="24"/>
          <w:szCs w:val="24"/>
        </w:rPr>
      </w:pPr>
      <w:r w:rsidRPr="009F5B57">
        <w:rPr>
          <w:rFonts w:ascii="Times New Roman" w:hAnsi="Times New Roman"/>
          <w:sz w:val="24"/>
          <w:szCs w:val="24"/>
        </w:rPr>
        <w:t xml:space="preserve">Rezago </w:t>
      </w:r>
    </w:p>
    <w:p w14:paraId="5A453087" w14:textId="43CAFC44" w:rsidR="0010107F" w:rsidRPr="009F5B57" w:rsidRDefault="0010107F" w:rsidP="00051BD3">
      <w:pPr>
        <w:pStyle w:val="NormalWeb"/>
        <w:spacing w:line="360" w:lineRule="auto"/>
        <w:ind w:firstLine="709"/>
        <w:jc w:val="both"/>
        <w:rPr>
          <w:rFonts w:ascii="Times New Roman" w:hAnsi="Times New Roman"/>
          <w:sz w:val="24"/>
          <w:szCs w:val="24"/>
        </w:rPr>
      </w:pPr>
      <w:r w:rsidRPr="009F5B57">
        <w:rPr>
          <w:rFonts w:ascii="Times New Roman" w:hAnsi="Times New Roman"/>
          <w:sz w:val="24"/>
          <w:szCs w:val="24"/>
        </w:rPr>
        <w:t>Para explicar el rezago, existe una diferencia entre hombres y mujeres puesto que el efecto que tiene la anemia en las mujeres es mucho mayor que en los hombres al momento de explicar el rezago.</w:t>
      </w:r>
      <w:r w:rsidR="002F66FE" w:rsidRPr="009F5B57">
        <w:rPr>
          <w:rFonts w:ascii="Times New Roman" w:hAnsi="Times New Roman"/>
          <w:sz w:val="24"/>
          <w:szCs w:val="24"/>
        </w:rPr>
        <w:t xml:space="preserve"> </w:t>
      </w:r>
      <w:r w:rsidRPr="009F5B57">
        <w:rPr>
          <w:rFonts w:ascii="Times New Roman" w:hAnsi="Times New Roman"/>
          <w:sz w:val="24"/>
          <w:szCs w:val="24"/>
        </w:rPr>
        <w:t>Entre más pasan lo</w:t>
      </w:r>
      <w:r w:rsidR="00AC5FFA" w:rsidRPr="009F5B57">
        <w:rPr>
          <w:rFonts w:ascii="Times New Roman" w:hAnsi="Times New Roman"/>
          <w:sz w:val="24"/>
          <w:szCs w:val="24"/>
        </w:rPr>
        <w:t xml:space="preserve">s años, mayores probabilidades </w:t>
      </w:r>
      <w:r w:rsidRPr="009F5B57">
        <w:rPr>
          <w:rFonts w:ascii="Times New Roman" w:hAnsi="Times New Roman"/>
          <w:sz w:val="24"/>
          <w:szCs w:val="24"/>
        </w:rPr>
        <w:t xml:space="preserve">tienen los jóvenes de rezagarse. </w:t>
      </w:r>
    </w:p>
    <w:p w14:paraId="6A65F394" w14:textId="7831869F" w:rsidR="00892FB9" w:rsidRPr="009F5B57" w:rsidRDefault="0010107F" w:rsidP="00051BD3">
      <w:pPr>
        <w:pStyle w:val="NormalWeb"/>
        <w:spacing w:line="360" w:lineRule="auto"/>
        <w:ind w:firstLine="709"/>
        <w:jc w:val="both"/>
        <w:rPr>
          <w:rFonts w:ascii="Times New Roman" w:hAnsi="Times New Roman"/>
          <w:sz w:val="24"/>
          <w:szCs w:val="24"/>
        </w:rPr>
      </w:pPr>
      <w:r w:rsidRPr="009F5B57">
        <w:rPr>
          <w:rFonts w:ascii="Times New Roman" w:hAnsi="Times New Roman"/>
          <w:sz w:val="24"/>
          <w:szCs w:val="24"/>
        </w:rPr>
        <w:t>Al momento de agregar todas las variables, el ser indígena aumenta la probabilidad de rezago en el caso de las mujeres, sin embargo</w:t>
      </w:r>
      <w:r w:rsidR="00AC5FFA" w:rsidRPr="009F5B57">
        <w:rPr>
          <w:rFonts w:ascii="Times New Roman" w:hAnsi="Times New Roman"/>
          <w:sz w:val="24"/>
          <w:szCs w:val="24"/>
        </w:rPr>
        <w:t>,</w:t>
      </w:r>
      <w:r w:rsidRPr="009F5B57">
        <w:rPr>
          <w:rFonts w:ascii="Times New Roman" w:hAnsi="Times New Roman"/>
          <w:sz w:val="24"/>
          <w:szCs w:val="24"/>
        </w:rPr>
        <w:t xml:space="preserve"> los hombres no se ven afec</w:t>
      </w:r>
      <w:r w:rsidR="004200E0" w:rsidRPr="009F5B57">
        <w:rPr>
          <w:rFonts w:ascii="Times New Roman" w:hAnsi="Times New Roman"/>
          <w:sz w:val="24"/>
          <w:szCs w:val="24"/>
        </w:rPr>
        <w:t>tados por  la situación étnica.</w:t>
      </w:r>
      <w:r w:rsidR="00051BD3">
        <w:rPr>
          <w:rFonts w:ascii="Times New Roman" w:hAnsi="Times New Roman"/>
          <w:sz w:val="24"/>
          <w:szCs w:val="24"/>
        </w:rPr>
        <w:t xml:space="preserve"> </w:t>
      </w:r>
      <w:r w:rsidR="00892FB9" w:rsidRPr="009F5B57">
        <w:rPr>
          <w:rFonts w:ascii="Times New Roman" w:hAnsi="Times New Roman"/>
          <w:sz w:val="24"/>
          <w:szCs w:val="24"/>
        </w:rPr>
        <w:t xml:space="preserve">El vivir con los padres y el nivel educativo de estos, disminuye la probabilidad de rezago tanto en hombres como en mujeres siendo el género femenino a quienes más favorece esta condición. </w:t>
      </w:r>
    </w:p>
    <w:p w14:paraId="56673DE9" w14:textId="35C540A8" w:rsidR="001D2695" w:rsidRPr="009F5B57" w:rsidRDefault="0010107F" w:rsidP="009F5B57">
      <w:pPr>
        <w:pStyle w:val="NormalWeb"/>
        <w:spacing w:line="360" w:lineRule="auto"/>
        <w:ind w:firstLine="709"/>
        <w:jc w:val="both"/>
        <w:rPr>
          <w:rFonts w:ascii="Times New Roman" w:hAnsi="Times New Roman"/>
          <w:sz w:val="24"/>
          <w:szCs w:val="24"/>
        </w:rPr>
      </w:pPr>
      <w:r w:rsidRPr="009F5B57">
        <w:rPr>
          <w:rFonts w:ascii="Times New Roman" w:hAnsi="Times New Roman"/>
          <w:sz w:val="24"/>
          <w:szCs w:val="24"/>
        </w:rPr>
        <w:t>Para el caso de las mujeres, si la anemia aumenta en 1</w:t>
      </w:r>
      <w:r w:rsidR="00F13D72" w:rsidRPr="009F5B57">
        <w:rPr>
          <w:rFonts w:ascii="Times New Roman" w:hAnsi="Times New Roman"/>
          <w:sz w:val="24"/>
          <w:szCs w:val="24"/>
        </w:rPr>
        <w:t xml:space="preserve"> </w:t>
      </w:r>
      <w:r w:rsidRPr="009F5B57">
        <w:rPr>
          <w:rFonts w:ascii="Times New Roman" w:hAnsi="Times New Roman"/>
          <w:sz w:val="24"/>
          <w:szCs w:val="24"/>
        </w:rPr>
        <w:t xml:space="preserve">%., la probabilidad </w:t>
      </w:r>
      <w:r w:rsidR="00F13D72" w:rsidRPr="009F5B57">
        <w:rPr>
          <w:rFonts w:ascii="Times New Roman" w:hAnsi="Times New Roman"/>
          <w:sz w:val="24"/>
          <w:szCs w:val="24"/>
        </w:rPr>
        <w:t>de tener rezago aumenta en .06%.</w:t>
      </w:r>
      <w:r w:rsidRPr="009F5B57">
        <w:rPr>
          <w:rFonts w:ascii="Times New Roman" w:hAnsi="Times New Roman"/>
          <w:sz w:val="24"/>
          <w:szCs w:val="24"/>
        </w:rPr>
        <w:t xml:space="preserve"> </w:t>
      </w:r>
      <w:r w:rsidR="00F13D72" w:rsidRPr="009F5B57">
        <w:rPr>
          <w:rFonts w:ascii="Times New Roman" w:hAnsi="Times New Roman"/>
          <w:sz w:val="24"/>
          <w:szCs w:val="24"/>
        </w:rPr>
        <w:t>E</w:t>
      </w:r>
      <w:r w:rsidRPr="009F5B57">
        <w:rPr>
          <w:rFonts w:ascii="Times New Roman" w:hAnsi="Times New Roman"/>
          <w:sz w:val="24"/>
          <w:szCs w:val="24"/>
        </w:rPr>
        <w:t>l 1.7</w:t>
      </w:r>
      <w:r w:rsidR="00F13D72" w:rsidRPr="009F5B57">
        <w:rPr>
          <w:rFonts w:ascii="Times New Roman" w:hAnsi="Times New Roman"/>
          <w:sz w:val="24"/>
          <w:szCs w:val="24"/>
        </w:rPr>
        <w:t xml:space="preserve"> </w:t>
      </w:r>
      <w:r w:rsidR="004200E0" w:rsidRPr="009F5B57">
        <w:rPr>
          <w:rFonts w:ascii="Times New Roman" w:hAnsi="Times New Roman"/>
          <w:sz w:val="24"/>
          <w:szCs w:val="24"/>
        </w:rPr>
        <w:t>% de las niñas con anemia se concentran</w:t>
      </w:r>
      <w:r w:rsidRPr="009F5B57">
        <w:rPr>
          <w:rFonts w:ascii="Times New Roman" w:hAnsi="Times New Roman"/>
          <w:sz w:val="24"/>
          <w:szCs w:val="24"/>
        </w:rPr>
        <w:t xml:space="preserve"> en la región 3</w:t>
      </w:r>
      <w:r w:rsidR="004200E0" w:rsidRPr="009F5B57">
        <w:rPr>
          <w:rFonts w:ascii="Times New Roman" w:hAnsi="Times New Roman"/>
          <w:sz w:val="24"/>
          <w:szCs w:val="24"/>
        </w:rPr>
        <w:t xml:space="preserve"> (DF) con el valor más alto </w:t>
      </w:r>
      <w:r w:rsidRPr="009F5B57">
        <w:rPr>
          <w:rFonts w:ascii="Times New Roman" w:hAnsi="Times New Roman"/>
          <w:sz w:val="24"/>
          <w:szCs w:val="24"/>
        </w:rPr>
        <w:t>y en la región 2</w:t>
      </w:r>
      <w:r w:rsidR="00EE7AD9" w:rsidRPr="009F5B57">
        <w:rPr>
          <w:rFonts w:ascii="Times New Roman" w:hAnsi="Times New Roman"/>
          <w:sz w:val="24"/>
          <w:szCs w:val="24"/>
        </w:rPr>
        <w:t xml:space="preserve"> ( zona centro)</w:t>
      </w:r>
      <w:r w:rsidRPr="009F5B57">
        <w:rPr>
          <w:rFonts w:ascii="Times New Roman" w:hAnsi="Times New Roman"/>
          <w:sz w:val="24"/>
          <w:szCs w:val="24"/>
        </w:rPr>
        <w:t xml:space="preserve"> </w:t>
      </w:r>
      <w:r w:rsidR="00F13D72" w:rsidRPr="009F5B57">
        <w:rPr>
          <w:rFonts w:ascii="Times New Roman" w:hAnsi="Times New Roman"/>
          <w:sz w:val="24"/>
          <w:szCs w:val="24"/>
        </w:rPr>
        <w:t>fue d</w:t>
      </w:r>
      <w:r w:rsidRPr="009F5B57">
        <w:rPr>
          <w:rFonts w:ascii="Times New Roman" w:hAnsi="Times New Roman"/>
          <w:sz w:val="24"/>
          <w:szCs w:val="24"/>
        </w:rPr>
        <w:t>el  1.2</w:t>
      </w:r>
      <w:r w:rsidR="00F13D72" w:rsidRPr="009F5B57">
        <w:rPr>
          <w:rFonts w:ascii="Times New Roman" w:hAnsi="Times New Roman"/>
          <w:sz w:val="24"/>
          <w:szCs w:val="24"/>
        </w:rPr>
        <w:t xml:space="preserve"> </w:t>
      </w:r>
      <w:r w:rsidRPr="009F5B57">
        <w:rPr>
          <w:rFonts w:ascii="Times New Roman" w:hAnsi="Times New Roman"/>
          <w:sz w:val="24"/>
          <w:szCs w:val="24"/>
        </w:rPr>
        <w:t xml:space="preserve">% </w:t>
      </w:r>
      <w:r w:rsidR="001D2695" w:rsidRPr="009F5B57">
        <w:rPr>
          <w:rFonts w:ascii="Times New Roman" w:hAnsi="Times New Roman"/>
          <w:sz w:val="24"/>
          <w:szCs w:val="24"/>
        </w:rPr>
        <w:t xml:space="preserve">, como se puede apreciar en la siguiente gráfica. </w:t>
      </w:r>
    </w:p>
    <w:p w14:paraId="6B4E41D9" w14:textId="651E5971" w:rsidR="001D2695" w:rsidRPr="00E65574" w:rsidRDefault="001D2695" w:rsidP="00E65574">
      <w:pPr>
        <w:spacing w:line="360" w:lineRule="auto"/>
        <w:ind w:left="1701"/>
        <w:rPr>
          <w:rFonts w:ascii="Times New Roman" w:hAnsi="Times New Roman" w:cs="Times New Roman"/>
          <w:lang w:val="es-ES"/>
        </w:rPr>
      </w:pPr>
      <w:r w:rsidRPr="009F5B57">
        <w:rPr>
          <w:rFonts w:ascii="Times New Roman" w:hAnsi="Times New Roman" w:cs="Times New Roman"/>
          <w:noProof/>
          <w:lang w:val="es-ES"/>
        </w:rPr>
        <w:drawing>
          <wp:inline distT="0" distB="0" distL="0" distR="0" wp14:anchorId="4FC980A2" wp14:editId="040F96F1">
            <wp:extent cx="3261449" cy="1298878"/>
            <wp:effectExtent l="0" t="0" r="15240" b="222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EC7867" w:rsidRPr="009F5B57">
        <w:rPr>
          <w:rFonts w:ascii="Times New Roman" w:hAnsi="Times New Roman" w:cs="Times New Roman"/>
        </w:rPr>
        <w:br/>
      </w:r>
      <w:r w:rsidR="00EC7867" w:rsidRPr="00E65574">
        <w:rPr>
          <w:rFonts w:ascii="Times New Roman" w:hAnsi="Times New Roman" w:cs="Times New Roman"/>
          <w:sz w:val="12"/>
          <w:szCs w:val="12"/>
          <w:lang w:val="es-ES"/>
        </w:rPr>
        <w:t>Gráfico 6 Creación propia con base a datos de los resultados de la investigación.</w:t>
      </w:r>
    </w:p>
    <w:p w14:paraId="36C9AEF4" w14:textId="5082094A" w:rsidR="00E65574" w:rsidRPr="009F5B57" w:rsidRDefault="00F13D72" w:rsidP="00E65574">
      <w:pPr>
        <w:pStyle w:val="NormalWeb"/>
        <w:spacing w:line="360" w:lineRule="auto"/>
        <w:ind w:firstLine="709"/>
        <w:jc w:val="both"/>
        <w:rPr>
          <w:rFonts w:ascii="Times New Roman" w:hAnsi="Times New Roman"/>
          <w:sz w:val="24"/>
          <w:szCs w:val="24"/>
        </w:rPr>
      </w:pPr>
      <w:r w:rsidRPr="009F5B57">
        <w:rPr>
          <w:rFonts w:ascii="Times New Roman" w:hAnsi="Times New Roman"/>
          <w:sz w:val="24"/>
          <w:szCs w:val="24"/>
        </w:rPr>
        <w:t xml:space="preserve"> E</w:t>
      </w:r>
      <w:r w:rsidR="0010107F" w:rsidRPr="009F5B57">
        <w:rPr>
          <w:rFonts w:ascii="Times New Roman" w:hAnsi="Times New Roman"/>
          <w:sz w:val="24"/>
          <w:szCs w:val="24"/>
        </w:rPr>
        <w:t>n el quintil 5 se encontró la mayor concentración de mujeres con anemia con un 3.36</w:t>
      </w:r>
      <w:r w:rsidRPr="009F5B57">
        <w:rPr>
          <w:rFonts w:ascii="Times New Roman" w:hAnsi="Times New Roman"/>
          <w:sz w:val="24"/>
          <w:szCs w:val="24"/>
        </w:rPr>
        <w:t xml:space="preserve"> </w:t>
      </w:r>
      <w:r w:rsidR="001F58F3" w:rsidRPr="009F5B57">
        <w:rPr>
          <w:rFonts w:ascii="Times New Roman" w:hAnsi="Times New Roman"/>
          <w:sz w:val="24"/>
          <w:szCs w:val="24"/>
        </w:rPr>
        <w:t xml:space="preserve">% , mientras que </w:t>
      </w:r>
      <w:r w:rsidR="0010107F" w:rsidRPr="009F5B57">
        <w:rPr>
          <w:rFonts w:ascii="Times New Roman" w:hAnsi="Times New Roman"/>
          <w:sz w:val="24"/>
          <w:szCs w:val="24"/>
        </w:rPr>
        <w:t>la población indígena tiene un 1.50</w:t>
      </w:r>
      <w:r w:rsidRPr="009F5B57">
        <w:rPr>
          <w:rFonts w:ascii="Times New Roman" w:hAnsi="Times New Roman"/>
          <w:sz w:val="24"/>
          <w:szCs w:val="24"/>
        </w:rPr>
        <w:t xml:space="preserve"> </w:t>
      </w:r>
      <w:r w:rsidR="0010107F" w:rsidRPr="009F5B57">
        <w:rPr>
          <w:rFonts w:ascii="Times New Roman" w:hAnsi="Times New Roman"/>
          <w:sz w:val="24"/>
          <w:szCs w:val="24"/>
        </w:rPr>
        <w:t>% .</w:t>
      </w:r>
      <w:r w:rsidR="00EE7AD9" w:rsidRPr="009F5B57">
        <w:rPr>
          <w:rFonts w:ascii="Times New Roman" w:hAnsi="Times New Roman"/>
          <w:sz w:val="24"/>
          <w:szCs w:val="24"/>
        </w:rPr>
        <w:t xml:space="preserve"> No obstante, entre mayor sea el nivel socioeconómico al que pertenezcan (entre más se acerque a 5 el quintil), menor probabilidad tienen de rezagarse.</w:t>
      </w:r>
      <w:r w:rsidR="00554336" w:rsidRPr="009F5B57">
        <w:rPr>
          <w:rFonts w:ascii="Times New Roman" w:hAnsi="Times New Roman"/>
          <w:sz w:val="24"/>
          <w:szCs w:val="24"/>
        </w:rPr>
        <w:t xml:space="preserve"> En la figura que aparece a continuación, se hace un </w:t>
      </w:r>
      <w:r w:rsidR="00554336" w:rsidRPr="009F5B57">
        <w:rPr>
          <w:rFonts w:ascii="Times New Roman" w:hAnsi="Times New Roman"/>
          <w:sz w:val="24"/>
          <w:szCs w:val="24"/>
        </w:rPr>
        <w:lastRenderedPageBreak/>
        <w:t>contraste entre hombres y mujeres en los 5 diferentes quintiles del porcentaje de personas con anemia.</w:t>
      </w:r>
    </w:p>
    <w:p w14:paraId="4EF185BD" w14:textId="27AB302E" w:rsidR="001513AF" w:rsidRPr="00E65574" w:rsidRDefault="004200E0" w:rsidP="00E65574">
      <w:pPr>
        <w:pStyle w:val="NormalWeb"/>
        <w:spacing w:line="360" w:lineRule="auto"/>
        <w:ind w:left="1701"/>
        <w:jc w:val="both"/>
        <w:rPr>
          <w:rFonts w:ascii="Times New Roman" w:hAnsi="Times New Roman"/>
          <w:sz w:val="12"/>
          <w:szCs w:val="12"/>
        </w:rPr>
      </w:pPr>
      <w:r w:rsidRPr="009F5B57">
        <w:rPr>
          <w:rFonts w:ascii="Times New Roman" w:hAnsi="Times New Roman"/>
          <w:noProof/>
          <w:sz w:val="24"/>
          <w:szCs w:val="24"/>
          <w:lang w:val="es-ES"/>
        </w:rPr>
        <w:drawing>
          <wp:inline distT="0" distB="0" distL="0" distR="0" wp14:anchorId="1CE39A71" wp14:editId="6F67CA1D">
            <wp:extent cx="2918549" cy="1374722"/>
            <wp:effectExtent l="0" t="0" r="27940" b="22860"/>
            <wp:docPr id="43" name="Gráfico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EC7867" w:rsidRPr="009F5B57">
        <w:rPr>
          <w:rFonts w:ascii="Times New Roman" w:hAnsi="Times New Roman"/>
          <w:sz w:val="24"/>
          <w:szCs w:val="24"/>
        </w:rPr>
        <w:br/>
      </w:r>
      <w:r w:rsidR="00EC7867" w:rsidRPr="00E65574">
        <w:rPr>
          <w:rFonts w:ascii="Times New Roman" w:hAnsi="Times New Roman"/>
          <w:sz w:val="12"/>
          <w:szCs w:val="12"/>
          <w:lang w:val="es-ES"/>
        </w:rPr>
        <w:t>Gráfico 6 Creación propia con base a datos de los resultados de la investigación</w:t>
      </w:r>
    </w:p>
    <w:p w14:paraId="250BC8F1" w14:textId="7F226F04" w:rsidR="001513AF" w:rsidRPr="009F5B57" w:rsidRDefault="00051BD3" w:rsidP="009F5B57">
      <w:pPr>
        <w:spacing w:line="360" w:lineRule="auto"/>
        <w:rPr>
          <w:rFonts w:ascii="Times New Roman" w:hAnsi="Times New Roman" w:cs="Times New Roman"/>
          <w:b/>
        </w:rPr>
      </w:pPr>
      <w:r>
        <w:rPr>
          <w:rFonts w:ascii="Times New Roman" w:hAnsi="Times New Roman" w:cs="Times New Roman"/>
          <w:b/>
        </w:rPr>
        <w:t>Capítulo 6 D</w:t>
      </w:r>
      <w:r w:rsidR="007B4266">
        <w:rPr>
          <w:rFonts w:ascii="Times New Roman" w:hAnsi="Times New Roman" w:cs="Times New Roman"/>
          <w:b/>
        </w:rPr>
        <w:t>iscusión</w:t>
      </w:r>
    </w:p>
    <w:p w14:paraId="7005B155" w14:textId="77777777" w:rsidR="003C4F5A" w:rsidRPr="009F5B57" w:rsidRDefault="003C4F5A" w:rsidP="009F5B57">
      <w:pPr>
        <w:spacing w:line="360" w:lineRule="auto"/>
        <w:ind w:left="160"/>
        <w:rPr>
          <w:rFonts w:ascii="Times New Roman" w:hAnsi="Times New Roman" w:cs="Times New Roman"/>
        </w:rPr>
      </w:pPr>
    </w:p>
    <w:p w14:paraId="0EC1B0FA" w14:textId="32887FD4" w:rsidR="00177216" w:rsidRPr="009F5B57" w:rsidRDefault="00177216" w:rsidP="00455DA4">
      <w:pPr>
        <w:widowControl w:val="0"/>
        <w:autoSpaceDE w:val="0"/>
        <w:autoSpaceDN w:val="0"/>
        <w:adjustRightInd w:val="0"/>
        <w:spacing w:line="360" w:lineRule="auto"/>
        <w:ind w:firstLine="709"/>
        <w:jc w:val="both"/>
        <w:rPr>
          <w:rFonts w:ascii="Times New Roman" w:hAnsi="Times New Roman" w:cs="Times New Roman"/>
          <w:lang w:val="es-ES"/>
        </w:rPr>
      </w:pPr>
      <w:r w:rsidRPr="009F5B57">
        <w:rPr>
          <w:rFonts w:ascii="Times New Roman" w:hAnsi="Times New Roman" w:cs="Times New Roman"/>
          <w:lang w:val="es-ES"/>
        </w:rPr>
        <w:t>En este trabajo se hizo un análisis de la relación de la anemia con el rezago y la asistencia escolar con datos de la encuesta ENSANUT 2012. El propósito, es el de analizar si existe una relación entre las variables y ver el efecto que tiene en la educación en México.</w:t>
      </w:r>
      <w:r w:rsidR="00455DA4">
        <w:rPr>
          <w:rFonts w:ascii="Times New Roman" w:hAnsi="Times New Roman" w:cs="Times New Roman"/>
          <w:lang w:val="es-ES"/>
        </w:rPr>
        <w:t xml:space="preserve"> </w:t>
      </w:r>
      <w:r w:rsidRPr="009F5B57">
        <w:rPr>
          <w:rFonts w:ascii="Times New Roman" w:hAnsi="Times New Roman" w:cs="Times New Roman"/>
          <w:lang w:val="es-ES"/>
        </w:rPr>
        <w:t>A diferencia de los demás estudios, se hace uso de la econometría para poder hacer un mejor análisis de la relación existente.</w:t>
      </w:r>
    </w:p>
    <w:p w14:paraId="37AF1CD8" w14:textId="77777777" w:rsidR="00177216" w:rsidRPr="009F5B57" w:rsidRDefault="00177216" w:rsidP="009F5B57">
      <w:pPr>
        <w:widowControl w:val="0"/>
        <w:autoSpaceDE w:val="0"/>
        <w:autoSpaceDN w:val="0"/>
        <w:adjustRightInd w:val="0"/>
        <w:spacing w:line="360" w:lineRule="auto"/>
        <w:ind w:firstLine="709"/>
        <w:jc w:val="both"/>
        <w:rPr>
          <w:rFonts w:ascii="Times New Roman" w:hAnsi="Times New Roman" w:cs="Times New Roman"/>
          <w:lang w:val="es-ES"/>
        </w:rPr>
      </w:pPr>
    </w:p>
    <w:p w14:paraId="5BE702AA" w14:textId="4C16A204" w:rsidR="00CB430D" w:rsidRDefault="00177216" w:rsidP="00455DA4">
      <w:pPr>
        <w:widowControl w:val="0"/>
        <w:autoSpaceDE w:val="0"/>
        <w:autoSpaceDN w:val="0"/>
        <w:adjustRightInd w:val="0"/>
        <w:spacing w:line="360" w:lineRule="auto"/>
        <w:ind w:firstLine="709"/>
        <w:jc w:val="both"/>
        <w:rPr>
          <w:rFonts w:ascii="Times New Roman" w:hAnsi="Times New Roman" w:cs="Times New Roman"/>
          <w:lang w:val="es-ES"/>
        </w:rPr>
      </w:pPr>
      <w:r w:rsidRPr="009F5B57">
        <w:rPr>
          <w:rFonts w:ascii="Times New Roman" w:hAnsi="Times New Roman" w:cs="Times New Roman"/>
          <w:lang w:val="es-ES"/>
        </w:rPr>
        <w:t xml:space="preserve">Nuestra interpretación de los resultados es que sí existe evidencia sobre la relación de la anemia con el rezago y la inasistencia a la escuela principalmente en mujeres y en los sectores socioeconómicos más bajos. </w:t>
      </w:r>
      <w:r w:rsidR="00CB430D" w:rsidRPr="009F5B57">
        <w:rPr>
          <w:rFonts w:ascii="Times New Roman" w:hAnsi="Times New Roman" w:cs="Times New Roman"/>
          <w:lang w:val="es-ES"/>
        </w:rPr>
        <w:t>Otro de los puntos importantes es el hecho de que las mujeres indígenas presentan una mayor probabilidad de inasistencia, esto es alarmante puesto que una de las metas por alcanzar en el país es la no discriminación e igualdad de géneros, así como igualdad de oportunidades sin importar la cultura o etnia.</w:t>
      </w:r>
    </w:p>
    <w:p w14:paraId="4E28B1D3" w14:textId="77777777" w:rsidR="00051BD3" w:rsidRPr="009F5B57" w:rsidRDefault="00051BD3" w:rsidP="00455DA4">
      <w:pPr>
        <w:widowControl w:val="0"/>
        <w:autoSpaceDE w:val="0"/>
        <w:autoSpaceDN w:val="0"/>
        <w:adjustRightInd w:val="0"/>
        <w:spacing w:line="360" w:lineRule="auto"/>
        <w:ind w:firstLine="709"/>
        <w:jc w:val="both"/>
        <w:rPr>
          <w:rFonts w:ascii="Times New Roman" w:hAnsi="Times New Roman" w:cs="Times New Roman"/>
          <w:lang w:val="es-ES"/>
        </w:rPr>
      </w:pPr>
    </w:p>
    <w:p w14:paraId="41EE3143" w14:textId="1B524C65" w:rsidR="00DD06CD" w:rsidRDefault="00177216" w:rsidP="00455DA4">
      <w:pPr>
        <w:widowControl w:val="0"/>
        <w:autoSpaceDE w:val="0"/>
        <w:autoSpaceDN w:val="0"/>
        <w:adjustRightInd w:val="0"/>
        <w:spacing w:line="360" w:lineRule="auto"/>
        <w:ind w:firstLine="709"/>
        <w:jc w:val="both"/>
        <w:rPr>
          <w:rFonts w:ascii="Times New Roman" w:hAnsi="Times New Roman" w:cs="Times New Roman"/>
          <w:lang w:val="es-ES"/>
        </w:rPr>
      </w:pPr>
      <w:r w:rsidRPr="009F5B57">
        <w:rPr>
          <w:rFonts w:ascii="Times New Roman" w:hAnsi="Times New Roman" w:cs="Times New Roman"/>
          <w:lang w:val="es-ES"/>
        </w:rPr>
        <w:t>Las brechas entre las diferentes clases sociales en México han ido en aumento, es por esto que resulta preocupante que la anemia afecte más a las personas con bajos recursos, puesto que la población vulnerable aumenta, por eso recomendamos que se tomen las medidas necesarias para hacer frente a esta enfermedad pues al hacerlo se puede aumentar el aprovechamiento escolar de los niños y jóvenes en México.</w:t>
      </w:r>
    </w:p>
    <w:p w14:paraId="769DF388" w14:textId="77777777" w:rsidR="00866528" w:rsidRDefault="00866528" w:rsidP="00455DA4">
      <w:pPr>
        <w:widowControl w:val="0"/>
        <w:autoSpaceDE w:val="0"/>
        <w:autoSpaceDN w:val="0"/>
        <w:adjustRightInd w:val="0"/>
        <w:spacing w:line="360" w:lineRule="auto"/>
        <w:ind w:firstLine="709"/>
        <w:jc w:val="both"/>
        <w:rPr>
          <w:rFonts w:ascii="Times New Roman" w:hAnsi="Times New Roman" w:cs="Times New Roman"/>
          <w:lang w:val="es-ES"/>
        </w:rPr>
      </w:pPr>
    </w:p>
    <w:p w14:paraId="0A3AB995" w14:textId="77777777" w:rsidR="00051BD3" w:rsidRPr="009F5B57" w:rsidRDefault="00051BD3" w:rsidP="00455DA4">
      <w:pPr>
        <w:widowControl w:val="0"/>
        <w:autoSpaceDE w:val="0"/>
        <w:autoSpaceDN w:val="0"/>
        <w:adjustRightInd w:val="0"/>
        <w:spacing w:line="360" w:lineRule="auto"/>
        <w:ind w:firstLine="709"/>
        <w:jc w:val="both"/>
        <w:rPr>
          <w:rFonts w:ascii="Times New Roman" w:hAnsi="Times New Roman" w:cs="Times New Roman"/>
          <w:lang w:val="es-ES"/>
        </w:rPr>
      </w:pPr>
    </w:p>
    <w:p w14:paraId="4E7EB4F1" w14:textId="4F7F814E" w:rsidR="00BC692D" w:rsidRPr="00455DA4" w:rsidRDefault="00C77C0B" w:rsidP="009F5B57">
      <w:pPr>
        <w:spacing w:line="360" w:lineRule="auto"/>
        <w:rPr>
          <w:rFonts w:ascii="Times New Roman" w:hAnsi="Times New Roman" w:cs="Times New Roman"/>
          <w:b/>
          <w:sz w:val="20"/>
          <w:szCs w:val="20"/>
        </w:rPr>
      </w:pPr>
      <w:r w:rsidRPr="00455DA4">
        <w:rPr>
          <w:rFonts w:ascii="Times New Roman" w:hAnsi="Times New Roman" w:cs="Times New Roman"/>
          <w:b/>
          <w:sz w:val="20"/>
          <w:szCs w:val="20"/>
        </w:rPr>
        <w:lastRenderedPageBreak/>
        <w:t>Bibliogr</w:t>
      </w:r>
      <w:r w:rsidR="00F13D72" w:rsidRPr="00455DA4">
        <w:rPr>
          <w:rFonts w:ascii="Times New Roman" w:hAnsi="Times New Roman" w:cs="Times New Roman"/>
          <w:b/>
          <w:sz w:val="20"/>
          <w:szCs w:val="20"/>
        </w:rPr>
        <w:t>a</w:t>
      </w:r>
      <w:r w:rsidRPr="00455DA4">
        <w:rPr>
          <w:rFonts w:ascii="Times New Roman" w:hAnsi="Times New Roman" w:cs="Times New Roman"/>
          <w:b/>
          <w:sz w:val="20"/>
          <w:szCs w:val="20"/>
        </w:rPr>
        <w:t>fía</w:t>
      </w:r>
    </w:p>
    <w:p w14:paraId="5CC26BEE" w14:textId="77777777" w:rsidR="00C77C0B" w:rsidRPr="00455DA4" w:rsidRDefault="00C77C0B" w:rsidP="009F5B57">
      <w:pPr>
        <w:spacing w:line="360" w:lineRule="auto"/>
        <w:rPr>
          <w:rFonts w:ascii="Times New Roman" w:hAnsi="Times New Roman" w:cs="Times New Roman"/>
          <w:sz w:val="20"/>
          <w:szCs w:val="20"/>
        </w:rPr>
      </w:pPr>
    </w:p>
    <w:p w14:paraId="01DCFCC2" w14:textId="294C0C29" w:rsidR="00C77C0B" w:rsidRPr="00455DA4" w:rsidRDefault="00C77C0B" w:rsidP="009F5B57">
      <w:pPr>
        <w:pStyle w:val="Bibliografa"/>
        <w:numPr>
          <w:ilvl w:val="0"/>
          <w:numId w:val="21"/>
        </w:numPr>
        <w:spacing w:line="360" w:lineRule="auto"/>
        <w:jc w:val="both"/>
        <w:rPr>
          <w:rFonts w:ascii="Times New Roman" w:hAnsi="Times New Roman" w:cs="Times New Roman"/>
          <w:noProof/>
          <w:sz w:val="20"/>
          <w:szCs w:val="20"/>
          <w:lang w:val="es-ES"/>
        </w:rPr>
      </w:pPr>
      <w:r w:rsidRPr="00455DA4">
        <w:rPr>
          <w:rFonts w:ascii="Times New Roman" w:hAnsi="Times New Roman" w:cs="Times New Roman"/>
          <w:noProof/>
          <w:sz w:val="20"/>
          <w:szCs w:val="20"/>
          <w:lang w:val="es-ES"/>
        </w:rPr>
        <w:t xml:space="preserve">WHO. (2011). Hemoglobin concentratios for the diagnosis of anemia and assessent of severity. Vitamin and Mineral Nutrition Information System . Recuperado el 21 de 04 de 2016, de WHO: </w:t>
      </w:r>
      <w:hyperlink r:id="rId17" w:history="1">
        <w:r w:rsidRPr="00455DA4">
          <w:rPr>
            <w:rFonts w:ascii="Times New Roman" w:hAnsi="Times New Roman" w:cs="Times New Roman"/>
            <w:noProof/>
            <w:sz w:val="20"/>
            <w:szCs w:val="20"/>
            <w:lang w:val="es-ES"/>
          </w:rPr>
          <w:t>http://www.who.int/vmins/indicators/hemoglobin.pdf</w:t>
        </w:r>
      </w:hyperlink>
    </w:p>
    <w:p w14:paraId="15D94179" w14:textId="657B448E" w:rsidR="00C77C0B" w:rsidRPr="00455DA4" w:rsidRDefault="00C77C0B" w:rsidP="009F5B57">
      <w:pPr>
        <w:pStyle w:val="Bibliografa"/>
        <w:numPr>
          <w:ilvl w:val="0"/>
          <w:numId w:val="21"/>
        </w:numPr>
        <w:spacing w:line="360" w:lineRule="auto"/>
        <w:jc w:val="both"/>
        <w:rPr>
          <w:rFonts w:ascii="Times New Roman" w:hAnsi="Times New Roman" w:cs="Times New Roman"/>
          <w:noProof/>
          <w:sz w:val="20"/>
          <w:szCs w:val="20"/>
          <w:lang w:val="es-ES"/>
        </w:rPr>
      </w:pPr>
      <w:r w:rsidRPr="00455DA4">
        <w:rPr>
          <w:rFonts w:ascii="Times New Roman" w:hAnsi="Times New Roman" w:cs="Times New Roman"/>
          <w:noProof/>
          <w:sz w:val="20"/>
          <w:szCs w:val="20"/>
          <w:lang w:val="es-ES"/>
        </w:rPr>
        <w:t xml:space="preserve">Benoist, B. d., McLean, E., Egli , I., &amp; Cogswell., M. (2005). Worldwide prevalence of anaemia 1993–2005. Recuperado el 2016, de WHO Global Database on Anaemia: </w:t>
      </w:r>
      <w:hyperlink r:id="rId18" w:history="1">
        <w:r w:rsidRPr="00455DA4">
          <w:rPr>
            <w:rFonts w:ascii="Times New Roman" w:hAnsi="Times New Roman" w:cs="Times New Roman"/>
            <w:noProof/>
            <w:sz w:val="20"/>
            <w:szCs w:val="20"/>
            <w:lang w:val="es-ES"/>
          </w:rPr>
          <w:t>http://apps.who.int/iris/bitstream/10665/43894/1/9789241596657_eng.pdf</w:t>
        </w:r>
      </w:hyperlink>
    </w:p>
    <w:p w14:paraId="4AB16BC4" w14:textId="4501D640" w:rsidR="00C77C0B" w:rsidRPr="00455DA4" w:rsidRDefault="00C77C0B" w:rsidP="009F5B57">
      <w:pPr>
        <w:pStyle w:val="Bibliografa"/>
        <w:numPr>
          <w:ilvl w:val="0"/>
          <w:numId w:val="21"/>
        </w:numPr>
        <w:spacing w:line="360" w:lineRule="auto"/>
        <w:jc w:val="both"/>
        <w:rPr>
          <w:rFonts w:ascii="Times New Roman" w:hAnsi="Times New Roman" w:cs="Times New Roman"/>
          <w:noProof/>
          <w:sz w:val="20"/>
          <w:szCs w:val="20"/>
          <w:lang w:val="es-ES"/>
        </w:rPr>
      </w:pPr>
      <w:r w:rsidRPr="00455DA4">
        <w:rPr>
          <w:rFonts w:ascii="Times New Roman" w:hAnsi="Times New Roman" w:cs="Times New Roman"/>
          <w:noProof/>
          <w:sz w:val="20"/>
          <w:szCs w:val="20"/>
          <w:lang w:val="es-ES"/>
        </w:rPr>
        <w:t xml:space="preserve">Health, N. I. (Septiembre de 2011). Guía breve sobre la anemia . Recuperado el 4 de 2016, de National Institutes of Health : </w:t>
      </w:r>
      <w:hyperlink r:id="rId19" w:history="1">
        <w:r w:rsidRPr="00455DA4">
          <w:rPr>
            <w:rFonts w:ascii="Times New Roman" w:hAnsi="Times New Roman" w:cs="Times New Roman"/>
            <w:noProof/>
            <w:sz w:val="20"/>
            <w:szCs w:val="20"/>
            <w:lang w:val="es-ES"/>
          </w:rPr>
          <w:t>https://www.nhlbi.nih.gov/files/docs/public/blood/anemia-inbrief_yg_sp.pdf</w:t>
        </w:r>
      </w:hyperlink>
    </w:p>
    <w:p w14:paraId="2D218E51" w14:textId="5C351B7A" w:rsidR="00EC7632" w:rsidRPr="00455DA4" w:rsidRDefault="00C77C0B" w:rsidP="00455DA4">
      <w:pPr>
        <w:pStyle w:val="Bibliografa"/>
        <w:numPr>
          <w:ilvl w:val="0"/>
          <w:numId w:val="21"/>
        </w:numPr>
        <w:spacing w:line="360" w:lineRule="auto"/>
        <w:jc w:val="both"/>
        <w:rPr>
          <w:rFonts w:ascii="Times New Roman" w:hAnsi="Times New Roman" w:cs="Times New Roman"/>
          <w:noProof/>
          <w:sz w:val="20"/>
          <w:szCs w:val="20"/>
          <w:lang w:val="es-ES"/>
        </w:rPr>
      </w:pPr>
      <w:r w:rsidRPr="00455DA4">
        <w:rPr>
          <w:rFonts w:ascii="Times New Roman" w:hAnsi="Times New Roman" w:cs="Times New Roman"/>
          <w:noProof/>
          <w:sz w:val="20"/>
          <w:szCs w:val="20"/>
          <w:lang w:val="es-ES"/>
        </w:rPr>
        <w:t>G, M. O., &amp; Walter K., T. (2003). Consecuencias de la deficiencia de hierro. Revista Chilena de nutrición (Versión on-line) , 30 (3).</w:t>
      </w:r>
    </w:p>
    <w:p w14:paraId="356C010E" w14:textId="58CC8CFD" w:rsidR="00C77C0B" w:rsidRPr="00455DA4" w:rsidRDefault="00C77C0B" w:rsidP="009F5B57">
      <w:pPr>
        <w:pStyle w:val="Bibliografa"/>
        <w:numPr>
          <w:ilvl w:val="0"/>
          <w:numId w:val="21"/>
        </w:numPr>
        <w:spacing w:line="360" w:lineRule="auto"/>
        <w:jc w:val="both"/>
        <w:rPr>
          <w:rFonts w:ascii="Times New Roman" w:hAnsi="Times New Roman" w:cs="Times New Roman"/>
          <w:noProof/>
          <w:sz w:val="20"/>
          <w:szCs w:val="20"/>
          <w:lang w:val="es-ES"/>
        </w:rPr>
      </w:pPr>
      <w:r w:rsidRPr="00455DA4">
        <w:rPr>
          <w:rFonts w:ascii="Times New Roman" w:hAnsi="Times New Roman" w:cs="Times New Roman"/>
          <w:noProof/>
          <w:sz w:val="20"/>
          <w:szCs w:val="20"/>
          <w:lang w:val="es-ES"/>
        </w:rPr>
        <w:t>Gilda G, S. (2007). Funcionamiento intelectual y rendimiento escolar en niños con anemia ydeficiencia de hierro. Colombia M</w:t>
      </w:r>
      <w:r w:rsidR="00455DA4" w:rsidRPr="00455DA4">
        <w:rPr>
          <w:rFonts w:ascii="Times New Roman" w:hAnsi="Times New Roman" w:cs="Times New Roman"/>
          <w:noProof/>
          <w:sz w:val="20"/>
          <w:szCs w:val="20"/>
          <w:lang w:val="es-ES"/>
        </w:rPr>
        <w:t>édicadel Valle , 38 (1), 25-26.</w:t>
      </w:r>
    </w:p>
    <w:p w14:paraId="0B714A29" w14:textId="39482EF8" w:rsidR="00C77C0B" w:rsidRPr="00455DA4" w:rsidRDefault="00C77C0B" w:rsidP="009F5B57">
      <w:pPr>
        <w:pStyle w:val="Bibliografa"/>
        <w:numPr>
          <w:ilvl w:val="0"/>
          <w:numId w:val="21"/>
        </w:numPr>
        <w:spacing w:line="360" w:lineRule="auto"/>
        <w:jc w:val="both"/>
        <w:rPr>
          <w:rFonts w:ascii="Times New Roman" w:hAnsi="Times New Roman" w:cs="Times New Roman"/>
          <w:noProof/>
          <w:sz w:val="20"/>
          <w:szCs w:val="20"/>
          <w:lang w:val="es-ES"/>
        </w:rPr>
      </w:pPr>
      <w:r w:rsidRPr="00455DA4">
        <w:rPr>
          <w:rFonts w:ascii="Times New Roman" w:hAnsi="Times New Roman" w:cs="Times New Roman"/>
          <w:noProof/>
          <w:sz w:val="20"/>
          <w:szCs w:val="20"/>
          <w:lang w:val="es-ES"/>
        </w:rPr>
        <w:t xml:space="preserve">Guarderas, C.  (1994) Fisiopatología Integrada . Tomo 1, Editorial </w:t>
      </w:r>
      <w:r w:rsidR="00455DA4" w:rsidRPr="00455DA4">
        <w:rPr>
          <w:rFonts w:ascii="Times New Roman" w:hAnsi="Times New Roman" w:cs="Times New Roman"/>
          <w:noProof/>
          <w:sz w:val="20"/>
          <w:szCs w:val="20"/>
          <w:lang w:val="es-ES"/>
        </w:rPr>
        <w:t>Centenario.</w:t>
      </w:r>
    </w:p>
    <w:sdt>
      <w:sdtPr>
        <w:rPr>
          <w:rFonts w:ascii="Times New Roman" w:hAnsi="Times New Roman" w:cs="Times New Roman"/>
          <w:noProof/>
          <w:sz w:val="20"/>
          <w:szCs w:val="20"/>
          <w:lang w:val="es-ES"/>
        </w:rPr>
        <w:id w:val="-1747096541"/>
        <w:bibliography/>
      </w:sdtPr>
      <w:sdtContent>
        <w:p w14:paraId="1436B2BB" w14:textId="75948CC5" w:rsidR="00C77C0B" w:rsidRPr="00455DA4" w:rsidRDefault="00C77C0B" w:rsidP="00455DA4">
          <w:pPr>
            <w:pStyle w:val="Bibliografa"/>
            <w:numPr>
              <w:ilvl w:val="0"/>
              <w:numId w:val="21"/>
            </w:numPr>
            <w:spacing w:line="360" w:lineRule="auto"/>
            <w:jc w:val="both"/>
            <w:rPr>
              <w:rFonts w:ascii="Times New Roman" w:hAnsi="Times New Roman" w:cs="Times New Roman"/>
              <w:noProof/>
              <w:sz w:val="20"/>
              <w:szCs w:val="20"/>
              <w:lang w:val="es-ES"/>
            </w:rPr>
          </w:pPr>
          <w:r w:rsidRPr="00455DA4">
            <w:rPr>
              <w:rFonts w:ascii="Times New Roman" w:hAnsi="Times New Roman" w:cs="Times New Roman"/>
              <w:noProof/>
              <w:sz w:val="20"/>
              <w:szCs w:val="20"/>
              <w:lang w:val="es-ES"/>
            </w:rPr>
            <w:fldChar w:fldCharType="begin"/>
          </w:r>
          <w:r w:rsidRPr="00455DA4">
            <w:rPr>
              <w:rFonts w:ascii="Times New Roman" w:hAnsi="Times New Roman" w:cs="Times New Roman"/>
              <w:noProof/>
              <w:sz w:val="20"/>
              <w:szCs w:val="20"/>
              <w:lang w:val="es-ES"/>
            </w:rPr>
            <w:instrText>BIBLIOGRAPHY</w:instrText>
          </w:r>
          <w:r w:rsidRPr="00455DA4">
            <w:rPr>
              <w:rFonts w:ascii="Times New Roman" w:hAnsi="Times New Roman" w:cs="Times New Roman"/>
              <w:noProof/>
              <w:sz w:val="20"/>
              <w:szCs w:val="20"/>
              <w:lang w:val="es-ES"/>
            </w:rPr>
            <w:fldChar w:fldCharType="separate"/>
          </w:r>
          <w:r w:rsidRPr="00455DA4">
            <w:rPr>
              <w:rFonts w:ascii="Times New Roman" w:hAnsi="Times New Roman" w:cs="Times New Roman"/>
              <w:noProof/>
              <w:sz w:val="20"/>
              <w:szCs w:val="20"/>
              <w:lang w:val="es-ES"/>
            </w:rPr>
            <w:t>Sen, A., &amp; Kanani, S. (2009). Impact of iron-folic acid supplementation on cognitive abilities of school girls in Vadodara. Indi</w:t>
          </w:r>
          <w:r w:rsidR="00EC7632" w:rsidRPr="00455DA4">
            <w:rPr>
              <w:rFonts w:ascii="Times New Roman" w:hAnsi="Times New Roman" w:cs="Times New Roman"/>
              <w:noProof/>
              <w:sz w:val="20"/>
              <w:szCs w:val="20"/>
              <w:lang w:val="es-ES"/>
            </w:rPr>
            <w:t>an Pediatrics , 46 (2), 137-143</w:t>
          </w:r>
        </w:p>
        <w:p w14:paraId="124630D3" w14:textId="1EEB59B2" w:rsidR="00EC7632" w:rsidRPr="00455DA4" w:rsidRDefault="00C77C0B" w:rsidP="00455DA4">
          <w:pPr>
            <w:pStyle w:val="Bibliografa"/>
            <w:numPr>
              <w:ilvl w:val="0"/>
              <w:numId w:val="21"/>
            </w:numPr>
            <w:spacing w:line="360" w:lineRule="auto"/>
            <w:jc w:val="both"/>
            <w:rPr>
              <w:rFonts w:ascii="Times New Roman" w:hAnsi="Times New Roman" w:cs="Times New Roman"/>
              <w:noProof/>
              <w:sz w:val="20"/>
              <w:szCs w:val="20"/>
              <w:lang w:val="es-ES"/>
            </w:rPr>
          </w:pPr>
          <w:r w:rsidRPr="00455DA4">
            <w:rPr>
              <w:rFonts w:ascii="Times New Roman" w:hAnsi="Times New Roman" w:cs="Times New Roman"/>
              <w:noProof/>
              <w:sz w:val="20"/>
              <w:szCs w:val="20"/>
              <w:lang w:val="es-ES"/>
            </w:rPr>
            <w:fldChar w:fldCharType="end"/>
          </w:r>
          <w:r w:rsidRPr="00455DA4">
            <w:rPr>
              <w:rFonts w:ascii="Times New Roman" w:hAnsi="Times New Roman" w:cs="Times New Roman"/>
              <w:noProof/>
              <w:sz w:val="20"/>
              <w:szCs w:val="20"/>
              <w:lang w:val="es-ES"/>
            </w:rPr>
            <w:t xml:space="preserve"> Webb, T., &amp; Oski, F. (1973). Iron deficiency anemia and scholasticachievement in young adolescents. The Journal of Pediatrics , 82 (5), 827-829.</w:t>
          </w:r>
        </w:p>
      </w:sdtContent>
    </w:sdt>
    <w:p w14:paraId="6548DF9E" w14:textId="7E92F74D" w:rsidR="00C77C0B" w:rsidRPr="00455DA4" w:rsidRDefault="00C77C0B" w:rsidP="00455DA4">
      <w:pPr>
        <w:pStyle w:val="Bibliografa"/>
        <w:numPr>
          <w:ilvl w:val="0"/>
          <w:numId w:val="21"/>
        </w:numPr>
        <w:spacing w:line="360" w:lineRule="auto"/>
        <w:jc w:val="both"/>
        <w:rPr>
          <w:rFonts w:ascii="Times New Roman" w:hAnsi="Times New Roman" w:cs="Times New Roman"/>
          <w:noProof/>
          <w:sz w:val="20"/>
          <w:szCs w:val="20"/>
          <w:lang w:val="es-ES"/>
        </w:rPr>
      </w:pPr>
      <w:r w:rsidRPr="00455DA4">
        <w:rPr>
          <w:rFonts w:ascii="Times New Roman" w:hAnsi="Times New Roman" w:cs="Times New Roman"/>
          <w:noProof/>
          <w:sz w:val="20"/>
          <w:szCs w:val="20"/>
          <w:lang w:val="es-ES"/>
        </w:rPr>
        <w:t xml:space="preserve"> Murray-Kolb, L., &amp; Beard, J. (2007). Iron treatment normalizes cognitive functioning in young women. The American Journal of Clinical Nutrition , 85 (3), 778-787</w:t>
      </w:r>
    </w:p>
    <w:p w14:paraId="265F1443" w14:textId="77108BE9" w:rsidR="00EC7632" w:rsidRPr="00455DA4" w:rsidRDefault="00C77C0B" w:rsidP="00455DA4">
      <w:pPr>
        <w:pStyle w:val="Bibliografa"/>
        <w:numPr>
          <w:ilvl w:val="0"/>
          <w:numId w:val="21"/>
        </w:numPr>
        <w:spacing w:line="360" w:lineRule="auto"/>
        <w:jc w:val="both"/>
        <w:rPr>
          <w:rFonts w:ascii="Times New Roman" w:hAnsi="Times New Roman" w:cs="Times New Roman"/>
          <w:noProof/>
          <w:sz w:val="20"/>
          <w:szCs w:val="20"/>
          <w:lang w:val="es-ES"/>
        </w:rPr>
      </w:pPr>
      <w:r w:rsidRPr="00455DA4">
        <w:rPr>
          <w:rFonts w:ascii="Times New Roman" w:hAnsi="Times New Roman" w:cs="Times New Roman"/>
          <w:noProof/>
          <w:sz w:val="20"/>
          <w:szCs w:val="20"/>
          <w:lang w:val="es-ES"/>
        </w:rPr>
        <w:t xml:space="preserve">F, A., MR, K., M, A., Karim R, G, W., CP, B., y otros. (2012). Effect of long-term intermittent supplementation with multiple micronutrients compared with iron-and-folic acid supplementation on Hb and micronutrient status of non-anaemic adolescent schoolgirls in rural Bangladesh. British Journal of </w:t>
      </w:r>
      <w:r w:rsidR="00EC7632" w:rsidRPr="00455DA4">
        <w:rPr>
          <w:rFonts w:ascii="Times New Roman" w:hAnsi="Times New Roman" w:cs="Times New Roman"/>
          <w:noProof/>
          <w:sz w:val="20"/>
          <w:szCs w:val="20"/>
          <w:lang w:val="es-ES"/>
        </w:rPr>
        <w:t>Nutrition , 108 (8), 1484-93.</w:t>
      </w:r>
    </w:p>
    <w:p w14:paraId="17F46642" w14:textId="55C1D6F6" w:rsidR="00EC7632" w:rsidRPr="00455DA4" w:rsidRDefault="00C77C0B" w:rsidP="00455DA4">
      <w:pPr>
        <w:pStyle w:val="Bibliografa"/>
        <w:numPr>
          <w:ilvl w:val="0"/>
          <w:numId w:val="21"/>
        </w:numPr>
        <w:spacing w:line="360" w:lineRule="auto"/>
        <w:jc w:val="both"/>
        <w:rPr>
          <w:rFonts w:ascii="Times New Roman" w:hAnsi="Times New Roman" w:cs="Times New Roman"/>
          <w:noProof/>
          <w:sz w:val="20"/>
          <w:szCs w:val="20"/>
          <w:lang w:val="es-ES"/>
        </w:rPr>
      </w:pPr>
      <w:r w:rsidRPr="00455DA4">
        <w:rPr>
          <w:rFonts w:ascii="Times New Roman" w:hAnsi="Times New Roman" w:cs="Times New Roman"/>
          <w:noProof/>
          <w:sz w:val="20"/>
          <w:szCs w:val="20"/>
          <w:lang w:val="es-ES"/>
        </w:rPr>
        <w:t>Walker SP, Grantham-McGregor SM,Himes JH, Williams S, Duff EM (1998). School performance in adolescent Jamaican girls: associations withhealth, social and behavioural characteristics, and risk factorsfor dropouts. J Adolesc Health, 21, 109-122.</w:t>
      </w:r>
    </w:p>
    <w:p w14:paraId="6431E20A" w14:textId="76804F4E" w:rsidR="00C77C0B" w:rsidRPr="00455DA4" w:rsidRDefault="00C77C0B" w:rsidP="009F5B57">
      <w:pPr>
        <w:pStyle w:val="Bibliografa"/>
        <w:numPr>
          <w:ilvl w:val="0"/>
          <w:numId w:val="21"/>
        </w:numPr>
        <w:spacing w:line="360" w:lineRule="auto"/>
        <w:jc w:val="both"/>
        <w:rPr>
          <w:rFonts w:ascii="Times New Roman" w:hAnsi="Times New Roman" w:cs="Times New Roman"/>
          <w:noProof/>
          <w:sz w:val="20"/>
          <w:szCs w:val="20"/>
          <w:lang w:val="es-ES"/>
        </w:rPr>
      </w:pPr>
      <w:r w:rsidRPr="00455DA4">
        <w:rPr>
          <w:rFonts w:ascii="Times New Roman" w:hAnsi="Times New Roman" w:cs="Times New Roman"/>
          <w:noProof/>
          <w:sz w:val="20"/>
          <w:szCs w:val="20"/>
          <w:lang w:val="es-ES"/>
        </w:rPr>
        <w:t>Group, N. S. (2007). Effect of a 12-mo micronutrient intervention on learning and memory in well-nourished and marginally nourished school-aged children: 2 parallel, randomized, placebo-controlled studies in Australia and Indonesia. The American Journal of Clinic</w:t>
      </w:r>
      <w:r w:rsidR="00455DA4" w:rsidRPr="00455DA4">
        <w:rPr>
          <w:rFonts w:ascii="Times New Roman" w:hAnsi="Times New Roman" w:cs="Times New Roman"/>
          <w:noProof/>
          <w:sz w:val="20"/>
          <w:szCs w:val="20"/>
          <w:lang w:val="es-ES"/>
        </w:rPr>
        <w:t>al Nutrition , 86 (4), 1082-93.</w:t>
      </w:r>
    </w:p>
    <w:p w14:paraId="31DFF3FF" w14:textId="1EC28BE4" w:rsidR="00EC7632" w:rsidRPr="00455DA4" w:rsidRDefault="00C77C0B" w:rsidP="00455DA4">
      <w:pPr>
        <w:pStyle w:val="Bibliografa"/>
        <w:numPr>
          <w:ilvl w:val="0"/>
          <w:numId w:val="21"/>
        </w:numPr>
        <w:spacing w:line="360" w:lineRule="auto"/>
        <w:jc w:val="both"/>
        <w:rPr>
          <w:rFonts w:ascii="Times New Roman" w:hAnsi="Times New Roman" w:cs="Times New Roman"/>
          <w:noProof/>
          <w:sz w:val="20"/>
          <w:szCs w:val="20"/>
          <w:lang w:val="es-ES"/>
        </w:rPr>
      </w:pPr>
      <w:r w:rsidRPr="00455DA4">
        <w:rPr>
          <w:rFonts w:ascii="Times New Roman" w:hAnsi="Times New Roman" w:cs="Times New Roman"/>
          <w:noProof/>
          <w:sz w:val="20"/>
          <w:szCs w:val="20"/>
          <w:lang w:val="es-ES"/>
        </w:rPr>
        <w:t>Manger MS, M. J., et al. (2008). A micronutrient-fortified seasoning powder reduces morbidity and improves short-term cognitive function, but has no effect on anthropometric measures in primary school children in northeast Thailand: a randomized controlled trial. ￼￼The American Journal of Clinical nutrition , 87 (6), 1715-22.</w:t>
      </w:r>
    </w:p>
    <w:p w14:paraId="5D9371A1" w14:textId="32EAA859" w:rsidR="00EC7632" w:rsidRPr="00455DA4" w:rsidRDefault="00C77C0B" w:rsidP="00455DA4">
      <w:pPr>
        <w:pStyle w:val="Bibliografa"/>
        <w:numPr>
          <w:ilvl w:val="0"/>
          <w:numId w:val="21"/>
        </w:numPr>
        <w:spacing w:line="360" w:lineRule="auto"/>
        <w:jc w:val="both"/>
        <w:rPr>
          <w:rFonts w:ascii="Times New Roman" w:hAnsi="Times New Roman" w:cs="Times New Roman"/>
          <w:noProof/>
          <w:sz w:val="20"/>
          <w:szCs w:val="20"/>
          <w:lang w:val="es-ES"/>
        </w:rPr>
      </w:pPr>
      <w:r w:rsidRPr="00455DA4">
        <w:rPr>
          <w:rFonts w:ascii="Times New Roman" w:hAnsi="Times New Roman" w:cs="Times New Roman"/>
          <w:noProof/>
          <w:sz w:val="20"/>
          <w:szCs w:val="20"/>
          <w:lang w:val="es-ES"/>
        </w:rPr>
        <w:lastRenderedPageBreak/>
        <w:t>Geografía, I. N. (2015 de Diciembre de 2015). Mujeres y Hombres en México. (INEGI, Productor) Recuperado el 20 de Mayo de 2016, de Cuentame INEGI : cuentame.inegi.org.mx/poblacion/mujeresyhombres.aspx?tema=P#sp</w:t>
      </w:r>
    </w:p>
    <w:p w14:paraId="0CF0722E" w14:textId="62A453B4" w:rsidR="00C77C0B" w:rsidRPr="00455DA4" w:rsidRDefault="00C77C0B" w:rsidP="009F5B57">
      <w:pPr>
        <w:pStyle w:val="Bibliografa"/>
        <w:numPr>
          <w:ilvl w:val="0"/>
          <w:numId w:val="21"/>
        </w:numPr>
        <w:spacing w:line="360" w:lineRule="auto"/>
        <w:jc w:val="both"/>
        <w:rPr>
          <w:rFonts w:ascii="Times New Roman" w:hAnsi="Times New Roman" w:cs="Times New Roman"/>
          <w:noProof/>
          <w:sz w:val="20"/>
          <w:szCs w:val="20"/>
          <w:lang w:val="es-ES"/>
        </w:rPr>
      </w:pPr>
      <w:r w:rsidRPr="00455DA4">
        <w:rPr>
          <w:rFonts w:ascii="Times New Roman" w:hAnsi="Times New Roman" w:cs="Times New Roman"/>
          <w:noProof/>
          <w:sz w:val="20"/>
          <w:szCs w:val="20"/>
          <w:lang w:val="es-ES"/>
        </w:rPr>
        <w:t xml:space="preserve">CONEVAL. (2015). Informe de los resultados de la medición de pobreza 2014. Comunicado de prensa , CONEVAL, Dirección de información </w:t>
      </w:r>
      <w:r w:rsidR="00455DA4" w:rsidRPr="00455DA4">
        <w:rPr>
          <w:rFonts w:ascii="Times New Roman" w:hAnsi="Times New Roman" w:cs="Times New Roman"/>
          <w:noProof/>
          <w:sz w:val="20"/>
          <w:szCs w:val="20"/>
          <w:lang w:val="es-ES"/>
        </w:rPr>
        <w:t>y comunicación social .</w:t>
      </w:r>
    </w:p>
    <w:p w14:paraId="7F58F9B7" w14:textId="166755DD" w:rsidR="00C77C0B" w:rsidRPr="00455DA4" w:rsidRDefault="00C77C0B" w:rsidP="009F5B57">
      <w:pPr>
        <w:pStyle w:val="Bibliografa"/>
        <w:numPr>
          <w:ilvl w:val="0"/>
          <w:numId w:val="21"/>
        </w:numPr>
        <w:spacing w:line="360" w:lineRule="auto"/>
        <w:jc w:val="both"/>
        <w:rPr>
          <w:rFonts w:ascii="Times New Roman" w:hAnsi="Times New Roman" w:cs="Times New Roman"/>
          <w:noProof/>
          <w:sz w:val="20"/>
          <w:szCs w:val="20"/>
          <w:lang w:val="es-ES"/>
        </w:rPr>
      </w:pPr>
      <w:r w:rsidRPr="00455DA4">
        <w:rPr>
          <w:rFonts w:ascii="Times New Roman" w:hAnsi="Times New Roman" w:cs="Times New Roman"/>
          <w:noProof/>
          <w:sz w:val="20"/>
          <w:szCs w:val="20"/>
          <w:lang w:val="es-ES"/>
        </w:rPr>
        <w:t>Vásquez, H. V. (2012). Panorama Educativo de México 2010 Indicadores del Sistema Educativo Nacional Educación Básica y Media Superior. Infoorm</w:t>
      </w:r>
      <w:r w:rsidR="00455DA4" w:rsidRPr="00455DA4">
        <w:rPr>
          <w:rFonts w:ascii="Times New Roman" w:hAnsi="Times New Roman" w:cs="Times New Roman"/>
          <w:noProof/>
          <w:sz w:val="20"/>
          <w:szCs w:val="20"/>
          <w:lang w:val="es-ES"/>
        </w:rPr>
        <w:t>e de indicadores, INEE, México.</w:t>
      </w:r>
    </w:p>
    <w:p w14:paraId="25FF7A23" w14:textId="6AE67319" w:rsidR="00EC7632" w:rsidRPr="00455DA4" w:rsidRDefault="00C77C0B" w:rsidP="00455DA4">
      <w:pPr>
        <w:pStyle w:val="Bibliografa"/>
        <w:numPr>
          <w:ilvl w:val="0"/>
          <w:numId w:val="21"/>
        </w:numPr>
        <w:spacing w:line="360" w:lineRule="auto"/>
        <w:jc w:val="both"/>
        <w:rPr>
          <w:rFonts w:ascii="Times New Roman" w:hAnsi="Times New Roman" w:cs="Times New Roman"/>
          <w:noProof/>
          <w:sz w:val="20"/>
          <w:szCs w:val="20"/>
          <w:lang w:val="es-ES"/>
        </w:rPr>
      </w:pPr>
      <w:r w:rsidRPr="00455DA4">
        <w:rPr>
          <w:rFonts w:ascii="Times New Roman" w:hAnsi="Times New Roman" w:cs="Times New Roman"/>
          <w:noProof/>
          <w:sz w:val="20"/>
          <w:szCs w:val="20"/>
          <w:lang w:val="es-ES"/>
        </w:rPr>
        <w:t xml:space="preserve"> ENSANUT. (2012). Encuesta Nacional de Salud y Nutrición 2012. Resultados nacionales. Instituto Nacional de Salud Pública</w:t>
      </w:r>
      <w:r w:rsidR="00EC7632" w:rsidRPr="00455DA4">
        <w:rPr>
          <w:rFonts w:ascii="Times New Roman" w:hAnsi="Times New Roman" w:cs="Times New Roman"/>
          <w:noProof/>
          <w:sz w:val="20"/>
          <w:szCs w:val="20"/>
          <w:lang w:val="es-ES"/>
        </w:rPr>
        <w:t>.</w:t>
      </w:r>
    </w:p>
    <w:p w14:paraId="748BDE28" w14:textId="08AD8C28" w:rsidR="00EC7632" w:rsidRPr="00455DA4" w:rsidRDefault="00C77C0B" w:rsidP="00455DA4">
      <w:pPr>
        <w:pStyle w:val="Bibliografa"/>
        <w:numPr>
          <w:ilvl w:val="0"/>
          <w:numId w:val="21"/>
        </w:numPr>
        <w:spacing w:line="360" w:lineRule="auto"/>
        <w:jc w:val="both"/>
        <w:rPr>
          <w:rFonts w:ascii="Times New Roman" w:hAnsi="Times New Roman" w:cs="Times New Roman"/>
          <w:noProof/>
          <w:sz w:val="20"/>
          <w:szCs w:val="20"/>
          <w:lang w:val="es-ES"/>
        </w:rPr>
      </w:pPr>
      <w:r w:rsidRPr="00455DA4">
        <w:rPr>
          <w:rFonts w:ascii="Times New Roman" w:hAnsi="Times New Roman" w:cs="Times New Roman"/>
          <w:noProof/>
          <w:sz w:val="20"/>
          <w:szCs w:val="20"/>
          <w:lang w:val="es-ES"/>
        </w:rPr>
        <w:t>WHO (2011) Concentraciones de hemoglobina para diagnosticar anemia al nivel del mar (g/l)± _[Cuadro1] Tomado de </w:t>
      </w:r>
      <w:hyperlink r:id="rId20" w:history="1">
        <w:r w:rsidRPr="00455DA4">
          <w:rPr>
            <w:rFonts w:ascii="Times New Roman" w:hAnsi="Times New Roman" w:cs="Times New Roman"/>
            <w:noProof/>
            <w:sz w:val="20"/>
            <w:szCs w:val="20"/>
            <w:lang w:val="es-ES"/>
          </w:rPr>
          <w:t>http://www.who.int/vmnis/indicators/haemoglobin_es.pdf</w:t>
        </w:r>
      </w:hyperlink>
    </w:p>
    <w:p w14:paraId="75833F7E" w14:textId="1BC035F4" w:rsidR="00C77C0B" w:rsidRPr="00455DA4" w:rsidRDefault="00C77C0B" w:rsidP="009F5B57">
      <w:pPr>
        <w:pStyle w:val="Bibliografa"/>
        <w:numPr>
          <w:ilvl w:val="0"/>
          <w:numId w:val="21"/>
        </w:numPr>
        <w:spacing w:line="360" w:lineRule="auto"/>
        <w:jc w:val="both"/>
        <w:rPr>
          <w:rFonts w:ascii="Times New Roman" w:hAnsi="Times New Roman" w:cs="Times New Roman"/>
          <w:noProof/>
          <w:sz w:val="20"/>
          <w:szCs w:val="20"/>
          <w:lang w:val="es-ES"/>
        </w:rPr>
      </w:pPr>
      <w:r w:rsidRPr="00455DA4">
        <w:rPr>
          <w:rFonts w:ascii="Times New Roman" w:hAnsi="Times New Roman" w:cs="Times New Roman"/>
          <w:noProof/>
          <w:sz w:val="20"/>
          <w:szCs w:val="20"/>
          <w:lang w:val="es-ES"/>
        </w:rPr>
        <w:t>Villalpando, Salvador, García-Guerra, Armando, Ramírez-Silva, Claudia Ivonne, Mejía-Rodríguez, Fabiola, Matute, Guadalupe, Shamah-Levy, Teresa, &amp; Rivera, Juan A. (2003). Iron, zinc and iodide status in Mexican children under 12 years and women 12-49 years of age: a probabilistic national survey. Salud Pública de México, 45(Supl. 4), 520-529. Recuperado en 29 de julio de 2016, de http://www.scielo.org.mx/scielo.php?script=sci_arttext&amp;pid=S0036-36342003</w:t>
      </w:r>
      <w:r w:rsidR="00455DA4" w:rsidRPr="00455DA4">
        <w:rPr>
          <w:rFonts w:ascii="Times New Roman" w:hAnsi="Times New Roman" w:cs="Times New Roman"/>
          <w:noProof/>
          <w:sz w:val="20"/>
          <w:szCs w:val="20"/>
          <w:lang w:val="es-ES"/>
        </w:rPr>
        <w:t>001000008&amp;lng=es&amp;tlng=en.</w:t>
      </w:r>
    </w:p>
    <w:p w14:paraId="3FB810EA" w14:textId="34F0567E" w:rsidR="00EC7632" w:rsidRPr="00455DA4" w:rsidRDefault="00C77C0B" w:rsidP="00455DA4">
      <w:pPr>
        <w:pStyle w:val="Bibliografa"/>
        <w:numPr>
          <w:ilvl w:val="0"/>
          <w:numId w:val="21"/>
        </w:numPr>
        <w:spacing w:line="360" w:lineRule="auto"/>
        <w:jc w:val="both"/>
        <w:rPr>
          <w:rFonts w:ascii="Times New Roman" w:hAnsi="Times New Roman" w:cs="Times New Roman"/>
          <w:noProof/>
          <w:sz w:val="20"/>
          <w:szCs w:val="20"/>
          <w:lang w:val="es-ES"/>
        </w:rPr>
      </w:pPr>
      <w:r w:rsidRPr="00455DA4">
        <w:rPr>
          <w:rFonts w:ascii="Times New Roman" w:hAnsi="Times New Roman" w:cs="Times New Roman"/>
          <w:noProof/>
          <w:sz w:val="20"/>
          <w:szCs w:val="20"/>
          <w:lang w:val="es-ES"/>
        </w:rPr>
        <w:t>Martínez-Salgado, H., Casanueva, E., Rivera-Domarco, J., E. Viteri, F., &amp; Boruges-Rodríguez, H. (2008). La deficiencia de hierro y la anemia en niños mexicanos. Acciones para prevenirlas y corregirlas. Boletín Médico del Hospital Infantil de México , 65, 86-99.</w:t>
      </w:r>
    </w:p>
    <w:p w14:paraId="02B624B9" w14:textId="20C74396" w:rsidR="00C77C0B" w:rsidRPr="00455DA4" w:rsidRDefault="00C77C0B" w:rsidP="009F5B57">
      <w:pPr>
        <w:pStyle w:val="Bibliografa"/>
        <w:numPr>
          <w:ilvl w:val="0"/>
          <w:numId w:val="21"/>
        </w:numPr>
        <w:spacing w:line="360" w:lineRule="auto"/>
        <w:jc w:val="both"/>
        <w:rPr>
          <w:rFonts w:ascii="Times New Roman" w:hAnsi="Times New Roman" w:cs="Times New Roman"/>
          <w:noProof/>
          <w:sz w:val="20"/>
          <w:szCs w:val="20"/>
          <w:lang w:val="es-ES"/>
        </w:rPr>
      </w:pPr>
      <w:r w:rsidRPr="00455DA4">
        <w:rPr>
          <w:rFonts w:ascii="Times New Roman" w:hAnsi="Times New Roman" w:cs="Times New Roman"/>
          <w:noProof/>
          <w:sz w:val="20"/>
          <w:szCs w:val="20"/>
          <w:lang w:val="es-ES"/>
        </w:rPr>
        <w:t xml:space="preserve">OCDE. (2014). Panorama de la educación 2014. Recuperado el 12 de 05 de 2016, de OCDE: </w:t>
      </w:r>
      <w:hyperlink r:id="rId21" w:history="1">
        <w:r w:rsidRPr="00455DA4">
          <w:rPr>
            <w:rFonts w:ascii="Times New Roman" w:hAnsi="Times New Roman" w:cs="Times New Roman"/>
            <w:noProof/>
            <w:sz w:val="20"/>
            <w:szCs w:val="20"/>
            <w:lang w:val="es-ES"/>
          </w:rPr>
          <w:t>www.oecd.org/edu/Mexico-EAG2014-Country-Note-spanish.pdf</w:t>
        </w:r>
      </w:hyperlink>
    </w:p>
    <w:p w14:paraId="5CA97C43" w14:textId="3164EC0D" w:rsidR="00EC7632" w:rsidRPr="00455DA4" w:rsidRDefault="00C77C0B" w:rsidP="00455DA4">
      <w:pPr>
        <w:pStyle w:val="Bibliografa"/>
        <w:numPr>
          <w:ilvl w:val="0"/>
          <w:numId w:val="21"/>
        </w:numPr>
        <w:spacing w:line="360" w:lineRule="auto"/>
        <w:jc w:val="both"/>
        <w:rPr>
          <w:rFonts w:ascii="Times New Roman" w:hAnsi="Times New Roman" w:cs="Times New Roman"/>
          <w:noProof/>
          <w:sz w:val="20"/>
          <w:szCs w:val="20"/>
          <w:lang w:val="es-ES"/>
        </w:rPr>
      </w:pPr>
      <w:r w:rsidRPr="00455DA4">
        <w:rPr>
          <w:rFonts w:ascii="Times New Roman" w:hAnsi="Times New Roman" w:cs="Times New Roman"/>
          <w:noProof/>
          <w:sz w:val="20"/>
          <w:szCs w:val="20"/>
          <w:lang w:val="es-ES"/>
        </w:rPr>
        <w:t>INEGI. (2010). P</w:t>
      </w:r>
      <w:r w:rsidR="00455DA4" w:rsidRPr="00455DA4">
        <w:rPr>
          <w:rFonts w:ascii="Times New Roman" w:hAnsi="Times New Roman" w:cs="Times New Roman"/>
          <w:noProof/>
          <w:sz w:val="20"/>
          <w:szCs w:val="20"/>
          <w:lang w:val="es-ES"/>
        </w:rPr>
        <w:t>rincipales resultados por AGEB</w:t>
      </w:r>
      <w:r w:rsidRPr="00455DA4">
        <w:rPr>
          <w:rFonts w:ascii="Times New Roman" w:hAnsi="Times New Roman" w:cs="Times New Roman"/>
          <w:noProof/>
          <w:sz w:val="20"/>
          <w:szCs w:val="20"/>
          <w:lang w:val="es-ES"/>
        </w:rPr>
        <w:t xml:space="preserve"> manzana urbana. Recuperado el 21 de Mayo de 2016, de INEGI: </w:t>
      </w:r>
      <w:hyperlink r:id="rId22" w:history="1">
        <w:r w:rsidRPr="00455DA4">
          <w:rPr>
            <w:rFonts w:ascii="Times New Roman" w:hAnsi="Times New Roman" w:cs="Times New Roman"/>
            <w:noProof/>
            <w:sz w:val="20"/>
            <w:szCs w:val="20"/>
            <w:lang w:val="es-ES"/>
          </w:rPr>
          <w:t>http://www.inegi.org.mx/sistemas/consulta_resultados/ageb_urb2010.aspx?c=28111</w:t>
        </w:r>
      </w:hyperlink>
      <w:r w:rsidR="00455DA4" w:rsidRPr="00455DA4">
        <w:rPr>
          <w:rFonts w:ascii="Times New Roman" w:hAnsi="Times New Roman" w:cs="Times New Roman"/>
          <w:noProof/>
          <w:sz w:val="20"/>
          <w:szCs w:val="20"/>
          <w:lang w:val="es-ES"/>
        </w:rPr>
        <w:t>.</w:t>
      </w:r>
    </w:p>
    <w:p w14:paraId="6EED45D0" w14:textId="1778A6D7" w:rsidR="00C77C0B" w:rsidRPr="00455DA4" w:rsidRDefault="00C77C0B" w:rsidP="009F5B57">
      <w:pPr>
        <w:pStyle w:val="Bibliografa"/>
        <w:numPr>
          <w:ilvl w:val="0"/>
          <w:numId w:val="21"/>
        </w:numPr>
        <w:spacing w:line="360" w:lineRule="auto"/>
        <w:jc w:val="both"/>
        <w:rPr>
          <w:rFonts w:ascii="Times New Roman" w:hAnsi="Times New Roman" w:cs="Times New Roman"/>
          <w:noProof/>
          <w:sz w:val="20"/>
          <w:szCs w:val="20"/>
          <w:lang w:val="es-ES"/>
        </w:rPr>
      </w:pPr>
      <w:r w:rsidRPr="00455DA4">
        <w:rPr>
          <w:rFonts w:ascii="Times New Roman" w:hAnsi="Times New Roman" w:cs="Times New Roman"/>
          <w:noProof/>
          <w:sz w:val="20"/>
          <w:szCs w:val="20"/>
          <w:lang w:val="es-ES"/>
        </w:rPr>
        <w:t xml:space="preserve">Romero Martínez, M. (2012). Guía para el análisis de la ENSANUT 2012. (I. N. Pública, Productor) Recuperado el 04 de 2016, de ENSANUT: </w:t>
      </w:r>
      <w:hyperlink r:id="rId23" w:history="1">
        <w:r w:rsidR="004A0656" w:rsidRPr="00455DA4">
          <w:rPr>
            <w:rFonts w:ascii="Times New Roman" w:hAnsi="Times New Roman" w:cs="Times New Roman"/>
            <w:sz w:val="20"/>
            <w:szCs w:val="20"/>
          </w:rPr>
          <w:t>http://ensanut.insp.mx/doctos/seminario/T0101.pdf</w:t>
        </w:r>
      </w:hyperlink>
    </w:p>
    <w:p w14:paraId="1F9C3FB0" w14:textId="0AA53550" w:rsidR="00C77C0B" w:rsidRPr="00455DA4" w:rsidRDefault="00C77C0B" w:rsidP="009F5B57">
      <w:pPr>
        <w:pStyle w:val="Bibliografa"/>
        <w:numPr>
          <w:ilvl w:val="0"/>
          <w:numId w:val="21"/>
        </w:numPr>
        <w:spacing w:line="360" w:lineRule="auto"/>
        <w:jc w:val="both"/>
        <w:rPr>
          <w:rFonts w:ascii="Times New Roman" w:hAnsi="Times New Roman" w:cs="Times New Roman"/>
          <w:noProof/>
          <w:sz w:val="20"/>
          <w:szCs w:val="20"/>
          <w:lang w:val="es-ES"/>
        </w:rPr>
      </w:pPr>
      <w:r w:rsidRPr="00455DA4">
        <w:rPr>
          <w:rFonts w:ascii="Times New Roman" w:hAnsi="Times New Roman" w:cs="Times New Roman"/>
          <w:noProof/>
          <w:sz w:val="20"/>
          <w:szCs w:val="20"/>
          <w:lang w:val="es-ES"/>
        </w:rPr>
        <w:t xml:space="preserve">Universidad de Granada. (s.f.). Modelos de elección discreta . Obtenido de Universidad de Granada: </w:t>
      </w:r>
      <w:hyperlink r:id="rId24" w:history="1">
        <w:r w:rsidR="00975935" w:rsidRPr="00455DA4">
          <w:rPr>
            <w:rFonts w:ascii="Times New Roman" w:hAnsi="Times New Roman" w:cs="Times New Roman"/>
            <w:noProof/>
            <w:sz w:val="20"/>
            <w:szCs w:val="20"/>
            <w:lang w:val="es-ES"/>
          </w:rPr>
          <w:t>http://www.ugr.es/~romansg/material/WebEco/Eco2-Discreta.pdf</w:t>
        </w:r>
      </w:hyperlink>
    </w:p>
    <w:p w14:paraId="2F406B9E" w14:textId="21CF58E3" w:rsidR="004A0656" w:rsidRPr="00455DA4" w:rsidRDefault="00975935" w:rsidP="00455DA4">
      <w:pPr>
        <w:pStyle w:val="Bibliografa"/>
        <w:numPr>
          <w:ilvl w:val="0"/>
          <w:numId w:val="21"/>
        </w:numPr>
        <w:spacing w:line="360" w:lineRule="auto"/>
        <w:jc w:val="both"/>
        <w:rPr>
          <w:rFonts w:ascii="Times New Roman" w:hAnsi="Times New Roman" w:cs="Times New Roman"/>
          <w:noProof/>
          <w:sz w:val="20"/>
          <w:szCs w:val="20"/>
          <w:lang w:val="es-ES"/>
        </w:rPr>
      </w:pPr>
      <w:r w:rsidRPr="00455DA4">
        <w:rPr>
          <w:rFonts w:ascii="Times New Roman" w:hAnsi="Times New Roman" w:cs="Times New Roman"/>
          <w:noProof/>
          <w:sz w:val="20"/>
          <w:szCs w:val="20"/>
          <w:lang w:val="es-ES"/>
        </w:rPr>
        <w:t>Hilman, R., Boggs, D., Thompson, A., Finch, C., Winkelstein, A., &amp; Harker, L. (1998). Manual de    hematología . (J. J. Ávila, Ed.) Manual Moderno .</w:t>
      </w:r>
    </w:p>
    <w:p w14:paraId="2290ED53" w14:textId="2A47FD7C" w:rsidR="00073075" w:rsidRPr="00455DA4" w:rsidRDefault="00975935" w:rsidP="009F5B57">
      <w:pPr>
        <w:pStyle w:val="Bibliografa"/>
        <w:numPr>
          <w:ilvl w:val="0"/>
          <w:numId w:val="21"/>
        </w:numPr>
        <w:spacing w:line="360" w:lineRule="auto"/>
        <w:jc w:val="both"/>
        <w:rPr>
          <w:rFonts w:ascii="Times New Roman" w:hAnsi="Times New Roman" w:cs="Times New Roman"/>
          <w:noProof/>
          <w:sz w:val="20"/>
          <w:szCs w:val="20"/>
          <w:lang w:val="es-ES"/>
        </w:rPr>
      </w:pPr>
      <w:r w:rsidRPr="00455DA4">
        <w:rPr>
          <w:rFonts w:ascii="Times New Roman" w:hAnsi="Times New Roman" w:cs="Times New Roman"/>
          <w:noProof/>
          <w:sz w:val="20"/>
          <w:szCs w:val="20"/>
          <w:lang w:val="es-ES"/>
        </w:rPr>
        <w:t>Rojas, M., Angulo, H., &amp; Velázquez, I. (Enero de 2000). Rentabilidad de la inversión en capital humano en México. Economia Mexicana .</w:t>
      </w:r>
    </w:p>
    <w:p w14:paraId="244806E4" w14:textId="38F177E2" w:rsidR="00ED6285" w:rsidRPr="00455DA4" w:rsidRDefault="00073075" w:rsidP="009F5B57">
      <w:pPr>
        <w:pStyle w:val="Bibliografa"/>
        <w:numPr>
          <w:ilvl w:val="0"/>
          <w:numId w:val="21"/>
        </w:numPr>
        <w:spacing w:line="360" w:lineRule="auto"/>
        <w:jc w:val="both"/>
        <w:rPr>
          <w:rFonts w:ascii="Times New Roman" w:hAnsi="Times New Roman" w:cs="Times New Roman"/>
          <w:noProof/>
          <w:sz w:val="20"/>
          <w:szCs w:val="20"/>
          <w:lang w:val="es-ES"/>
        </w:rPr>
      </w:pPr>
      <w:r w:rsidRPr="00455DA4">
        <w:rPr>
          <w:rFonts w:ascii="Times New Roman" w:hAnsi="Times New Roman" w:cs="Times New Roman"/>
          <w:noProof/>
          <w:sz w:val="20"/>
          <w:szCs w:val="20"/>
          <w:lang w:val="es-ES"/>
        </w:rPr>
        <w:t>Shamah , T., Villalpando , S., Cuevas, L., García , A., &amp; Rivera, J. (2012). Estudio de Magnitud de la desnutrición infantil,determinantes y efectos de los programas de desarrollo social 2007-2012. Instituto Nacional de Salud Pública, Centro de Investigación en Nutrición y Salud, Cuernavaca</w:t>
      </w:r>
    </w:p>
    <w:sectPr w:rsidR="00ED6285" w:rsidRPr="00455DA4" w:rsidSect="00866528">
      <w:footerReference w:type="even" r:id="rId25"/>
      <w:footerReference w:type="default" r:id="rId26"/>
      <w:pgSz w:w="12240" w:h="15840"/>
      <w:pgMar w:top="1418" w:right="1701" w:bottom="1418" w:left="1701" w:header="1134" w:footer="851"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08D211" w15:done="0"/>
  <w15:commentEx w15:paraId="7861DAD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BA114" w14:textId="77777777" w:rsidR="00866528" w:rsidRDefault="00866528" w:rsidP="0068644F">
      <w:r>
        <w:separator/>
      </w:r>
    </w:p>
  </w:endnote>
  <w:endnote w:type="continuationSeparator" w:id="0">
    <w:p w14:paraId="425FA023" w14:textId="77777777" w:rsidR="00866528" w:rsidRDefault="00866528" w:rsidP="00686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66E8A" w14:textId="77777777" w:rsidR="00866528" w:rsidRDefault="00866528" w:rsidP="001E2A5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972FED" w14:textId="77777777" w:rsidR="00866528" w:rsidRDefault="00866528" w:rsidP="00DD0C9A">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B7CFF" w14:textId="77777777" w:rsidR="00866528" w:rsidRDefault="00866528" w:rsidP="001E2A5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47664">
      <w:rPr>
        <w:rStyle w:val="Nmerodepgina"/>
        <w:noProof/>
      </w:rPr>
      <w:t>1</w:t>
    </w:r>
    <w:r>
      <w:rPr>
        <w:rStyle w:val="Nmerodepgina"/>
      </w:rPr>
      <w:fldChar w:fldCharType="end"/>
    </w:r>
  </w:p>
  <w:p w14:paraId="09DCE2C5" w14:textId="4F79175B" w:rsidR="00866528" w:rsidRPr="0068644F" w:rsidRDefault="00866528" w:rsidP="00DD0C9A">
    <w:pPr>
      <w:pStyle w:val="Piedepgina"/>
      <w:ind w:right="360"/>
      <w:rPr>
        <w:lang w:val="es-MX"/>
      </w:rPr>
    </w:pPr>
    <w:r>
      <w:rPr>
        <w:lang w:val="es-MX"/>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149146" w14:textId="77777777" w:rsidR="00866528" w:rsidRDefault="00866528" w:rsidP="0068644F">
      <w:r>
        <w:separator/>
      </w:r>
    </w:p>
  </w:footnote>
  <w:footnote w:type="continuationSeparator" w:id="0">
    <w:p w14:paraId="08F73E8B" w14:textId="77777777" w:rsidR="00866528" w:rsidRDefault="00866528" w:rsidP="0068644F">
      <w:r>
        <w:continuationSeparator/>
      </w:r>
    </w:p>
  </w:footnote>
  <w:footnote w:id="1">
    <w:p w14:paraId="1066245F" w14:textId="634734AA" w:rsidR="00866528" w:rsidRPr="004110E4" w:rsidRDefault="00866528" w:rsidP="006E5929">
      <w:pPr>
        <w:pStyle w:val="Textonotapie"/>
        <w:rPr>
          <w:sz w:val="16"/>
          <w:szCs w:val="16"/>
        </w:rPr>
      </w:pPr>
      <w:r w:rsidRPr="004110E4">
        <w:rPr>
          <w:rStyle w:val="Refdenotaalpie"/>
          <w:sz w:val="16"/>
          <w:szCs w:val="16"/>
        </w:rPr>
        <w:footnoteRef/>
      </w:r>
      <w:r w:rsidRPr="004110E4">
        <w:rPr>
          <w:sz w:val="16"/>
          <w:szCs w:val="16"/>
        </w:rPr>
        <w:t xml:space="preserve"> </w:t>
      </w:r>
      <w:r w:rsidRPr="004110E4">
        <w:rPr>
          <w:rFonts w:ascii="Avenir Book" w:hAnsi="Avenir Book" w:cs="Helvetica"/>
          <w:sz w:val="16"/>
          <w:szCs w:val="16"/>
          <w:lang w:val="es-ES"/>
        </w:rPr>
        <w:t xml:space="preserve">La no normalidad de los datos hace que un modelo PROBIT sea inviable, aunado a esto, al realizar la prueba de </w:t>
      </w:r>
      <w:proofErr w:type="spellStart"/>
      <w:r w:rsidRPr="004110E4">
        <w:rPr>
          <w:rFonts w:ascii="Avenir Book" w:hAnsi="Avenir Book" w:cs="Helvetica"/>
          <w:sz w:val="16"/>
          <w:szCs w:val="16"/>
          <w:lang w:val="es-ES"/>
        </w:rPr>
        <w:t>Jarque</w:t>
      </w:r>
      <w:proofErr w:type="spellEnd"/>
      <w:r w:rsidRPr="004110E4">
        <w:rPr>
          <w:rFonts w:ascii="Avenir Book" w:hAnsi="Avenir Book" w:cs="Helvetica"/>
          <w:sz w:val="16"/>
          <w:szCs w:val="16"/>
          <w:lang w:val="es-ES"/>
        </w:rPr>
        <w:t xml:space="preserve"> </w:t>
      </w:r>
      <w:proofErr w:type="spellStart"/>
      <w:r w:rsidRPr="004110E4">
        <w:rPr>
          <w:rFonts w:ascii="Avenir Book" w:hAnsi="Avenir Book" w:cs="Helvetica"/>
          <w:sz w:val="16"/>
          <w:szCs w:val="16"/>
          <w:lang w:val="es-ES"/>
        </w:rPr>
        <w:t>Bera</w:t>
      </w:r>
      <w:proofErr w:type="spellEnd"/>
      <w:r w:rsidRPr="004110E4">
        <w:rPr>
          <w:rFonts w:ascii="Avenir Book" w:hAnsi="Avenir Book" w:cs="Helvetica"/>
          <w:sz w:val="16"/>
          <w:szCs w:val="16"/>
          <w:lang w:val="es-ES"/>
        </w:rPr>
        <w:t xml:space="preserve"> se eliminó la opción de utilizar dicho modelo</w:t>
      </w:r>
      <w:r w:rsidRPr="004110E4">
        <w:rPr>
          <w:rFonts w:ascii="Helvetica" w:hAnsi="Helvetica" w:cs="Helvetica"/>
          <w:sz w:val="16"/>
          <w:szCs w:val="16"/>
          <w:lang w:val="es-ES"/>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5BCC"/>
    <w:multiLevelType w:val="hybridMultilevel"/>
    <w:tmpl w:val="D3969C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7F7275"/>
    <w:multiLevelType w:val="hybridMultilevel"/>
    <w:tmpl w:val="44D063B0"/>
    <w:lvl w:ilvl="0" w:tplc="F796DAE2">
      <w:start w:val="1"/>
      <w:numFmt w:val="decimal"/>
      <w:lvlText w:val="%1)"/>
      <w:lvlJc w:val="left"/>
      <w:pPr>
        <w:ind w:left="720" w:hanging="360"/>
      </w:pPr>
      <w:rPr>
        <w:rFonts w:hint="default"/>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3EA50E5"/>
    <w:multiLevelType w:val="multilevel"/>
    <w:tmpl w:val="3BBE579E"/>
    <w:lvl w:ilvl="0">
      <w:start w:val="2"/>
      <w:numFmt w:val="decimal"/>
      <w:lvlText w:val="%1"/>
      <w:lvlJc w:val="left"/>
      <w:pPr>
        <w:ind w:left="400" w:hanging="400"/>
      </w:pPr>
      <w:rPr>
        <w:rFonts w:hint="default"/>
      </w:rPr>
    </w:lvl>
    <w:lvl w:ilvl="1">
      <w:start w:val="3"/>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6024" w:hanging="144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3">
    <w:nsid w:val="144C626F"/>
    <w:multiLevelType w:val="hybridMultilevel"/>
    <w:tmpl w:val="225EB112"/>
    <w:lvl w:ilvl="0" w:tplc="0C0A000F">
      <w:start w:val="1"/>
      <w:numFmt w:val="decimal"/>
      <w:lvlText w:val="%1."/>
      <w:lvlJc w:val="left"/>
      <w:pPr>
        <w:ind w:left="2880" w:hanging="360"/>
      </w:pPr>
    </w:lvl>
    <w:lvl w:ilvl="1" w:tplc="0C0A0019" w:tentative="1">
      <w:start w:val="1"/>
      <w:numFmt w:val="lowerLetter"/>
      <w:lvlText w:val="%2."/>
      <w:lvlJc w:val="left"/>
      <w:pPr>
        <w:ind w:left="3600" w:hanging="360"/>
      </w:pPr>
    </w:lvl>
    <w:lvl w:ilvl="2" w:tplc="0C0A001B" w:tentative="1">
      <w:start w:val="1"/>
      <w:numFmt w:val="lowerRoman"/>
      <w:lvlText w:val="%3."/>
      <w:lvlJc w:val="right"/>
      <w:pPr>
        <w:ind w:left="4320" w:hanging="180"/>
      </w:pPr>
    </w:lvl>
    <w:lvl w:ilvl="3" w:tplc="0C0A000F" w:tentative="1">
      <w:start w:val="1"/>
      <w:numFmt w:val="decimal"/>
      <w:lvlText w:val="%4."/>
      <w:lvlJc w:val="left"/>
      <w:pPr>
        <w:ind w:left="5040" w:hanging="360"/>
      </w:pPr>
    </w:lvl>
    <w:lvl w:ilvl="4" w:tplc="0C0A0019" w:tentative="1">
      <w:start w:val="1"/>
      <w:numFmt w:val="lowerLetter"/>
      <w:lvlText w:val="%5."/>
      <w:lvlJc w:val="left"/>
      <w:pPr>
        <w:ind w:left="5760" w:hanging="360"/>
      </w:pPr>
    </w:lvl>
    <w:lvl w:ilvl="5" w:tplc="0C0A001B" w:tentative="1">
      <w:start w:val="1"/>
      <w:numFmt w:val="lowerRoman"/>
      <w:lvlText w:val="%6."/>
      <w:lvlJc w:val="right"/>
      <w:pPr>
        <w:ind w:left="6480" w:hanging="180"/>
      </w:pPr>
    </w:lvl>
    <w:lvl w:ilvl="6" w:tplc="0C0A000F" w:tentative="1">
      <w:start w:val="1"/>
      <w:numFmt w:val="decimal"/>
      <w:lvlText w:val="%7."/>
      <w:lvlJc w:val="left"/>
      <w:pPr>
        <w:ind w:left="7200" w:hanging="360"/>
      </w:pPr>
    </w:lvl>
    <w:lvl w:ilvl="7" w:tplc="0C0A0019" w:tentative="1">
      <w:start w:val="1"/>
      <w:numFmt w:val="lowerLetter"/>
      <w:lvlText w:val="%8."/>
      <w:lvlJc w:val="left"/>
      <w:pPr>
        <w:ind w:left="7920" w:hanging="360"/>
      </w:pPr>
    </w:lvl>
    <w:lvl w:ilvl="8" w:tplc="0C0A001B" w:tentative="1">
      <w:start w:val="1"/>
      <w:numFmt w:val="lowerRoman"/>
      <w:lvlText w:val="%9."/>
      <w:lvlJc w:val="right"/>
      <w:pPr>
        <w:ind w:left="8640" w:hanging="180"/>
      </w:pPr>
    </w:lvl>
  </w:abstractNum>
  <w:abstractNum w:abstractNumId="4">
    <w:nsid w:val="166F6839"/>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6B43C66"/>
    <w:multiLevelType w:val="hybridMultilevel"/>
    <w:tmpl w:val="A36624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E9442C1"/>
    <w:multiLevelType w:val="multilevel"/>
    <w:tmpl w:val="AB98503C"/>
    <w:lvl w:ilvl="0">
      <w:start w:val="1"/>
      <w:numFmt w:val="decimal"/>
      <w:lvlText w:val="%1"/>
      <w:lvlJc w:val="left"/>
      <w:pPr>
        <w:ind w:left="360" w:hanging="360"/>
      </w:pPr>
      <w:rPr>
        <w:rFonts w:hint="default"/>
      </w:rPr>
    </w:lvl>
    <w:lvl w:ilvl="1">
      <w:start w:val="1"/>
      <w:numFmt w:val="decimal"/>
      <w:lvlText w:val="%1.%2"/>
      <w:lvlJc w:val="left"/>
      <w:pPr>
        <w:ind w:left="520" w:hanging="360"/>
      </w:pPr>
      <w:rPr>
        <w:rFonts w:hint="default"/>
      </w:rPr>
    </w:lvl>
    <w:lvl w:ilvl="2">
      <w:start w:val="1"/>
      <w:numFmt w:val="decimal"/>
      <w:lvlText w:val="%1.%2.%3"/>
      <w:lvlJc w:val="left"/>
      <w:pPr>
        <w:ind w:left="1040" w:hanging="720"/>
      </w:pPr>
      <w:rPr>
        <w:rFonts w:hint="default"/>
      </w:rPr>
    </w:lvl>
    <w:lvl w:ilvl="3">
      <w:start w:val="1"/>
      <w:numFmt w:val="decimal"/>
      <w:lvlText w:val="%1.%2.%3.%4"/>
      <w:lvlJc w:val="left"/>
      <w:pPr>
        <w:ind w:left="1560" w:hanging="108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2240" w:hanging="144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920" w:hanging="1800"/>
      </w:pPr>
      <w:rPr>
        <w:rFonts w:hint="default"/>
      </w:rPr>
    </w:lvl>
    <w:lvl w:ilvl="8">
      <w:start w:val="1"/>
      <w:numFmt w:val="decimal"/>
      <w:lvlText w:val="%1.%2.%3.%4.%5.%6.%7.%8.%9"/>
      <w:lvlJc w:val="left"/>
      <w:pPr>
        <w:ind w:left="3080" w:hanging="1800"/>
      </w:pPr>
      <w:rPr>
        <w:rFonts w:hint="default"/>
      </w:rPr>
    </w:lvl>
  </w:abstractNum>
  <w:abstractNum w:abstractNumId="7">
    <w:nsid w:val="20D94CB1"/>
    <w:multiLevelType w:val="hybridMultilevel"/>
    <w:tmpl w:val="D5C215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621E15"/>
    <w:multiLevelType w:val="hybridMultilevel"/>
    <w:tmpl w:val="CDDCF41A"/>
    <w:lvl w:ilvl="0" w:tplc="0C0A0001">
      <w:start w:val="1"/>
      <w:numFmt w:val="bullet"/>
      <w:lvlText w:val=""/>
      <w:lvlJc w:val="left"/>
      <w:pPr>
        <w:ind w:left="11702" w:hanging="360"/>
      </w:pPr>
      <w:rPr>
        <w:rFonts w:ascii="Symbol" w:hAnsi="Symbol" w:hint="default"/>
      </w:rPr>
    </w:lvl>
    <w:lvl w:ilvl="1" w:tplc="0C0A0003" w:tentative="1">
      <w:start w:val="1"/>
      <w:numFmt w:val="bullet"/>
      <w:lvlText w:val="o"/>
      <w:lvlJc w:val="left"/>
      <w:pPr>
        <w:ind w:left="12422" w:hanging="360"/>
      </w:pPr>
      <w:rPr>
        <w:rFonts w:ascii="Courier New" w:hAnsi="Courier New" w:cs="Courier New" w:hint="default"/>
      </w:rPr>
    </w:lvl>
    <w:lvl w:ilvl="2" w:tplc="0C0A0005" w:tentative="1">
      <w:start w:val="1"/>
      <w:numFmt w:val="bullet"/>
      <w:lvlText w:val=""/>
      <w:lvlJc w:val="left"/>
      <w:pPr>
        <w:ind w:left="13142" w:hanging="360"/>
      </w:pPr>
      <w:rPr>
        <w:rFonts w:ascii="Wingdings" w:hAnsi="Wingdings" w:hint="default"/>
      </w:rPr>
    </w:lvl>
    <w:lvl w:ilvl="3" w:tplc="0C0A0001" w:tentative="1">
      <w:start w:val="1"/>
      <w:numFmt w:val="bullet"/>
      <w:lvlText w:val=""/>
      <w:lvlJc w:val="left"/>
      <w:pPr>
        <w:ind w:left="13862" w:hanging="360"/>
      </w:pPr>
      <w:rPr>
        <w:rFonts w:ascii="Symbol" w:hAnsi="Symbol" w:hint="default"/>
      </w:rPr>
    </w:lvl>
    <w:lvl w:ilvl="4" w:tplc="0C0A0003" w:tentative="1">
      <w:start w:val="1"/>
      <w:numFmt w:val="bullet"/>
      <w:lvlText w:val="o"/>
      <w:lvlJc w:val="left"/>
      <w:pPr>
        <w:ind w:left="14582" w:hanging="360"/>
      </w:pPr>
      <w:rPr>
        <w:rFonts w:ascii="Courier New" w:hAnsi="Courier New" w:cs="Courier New" w:hint="default"/>
      </w:rPr>
    </w:lvl>
    <w:lvl w:ilvl="5" w:tplc="0C0A0005" w:tentative="1">
      <w:start w:val="1"/>
      <w:numFmt w:val="bullet"/>
      <w:lvlText w:val=""/>
      <w:lvlJc w:val="left"/>
      <w:pPr>
        <w:ind w:left="15302" w:hanging="360"/>
      </w:pPr>
      <w:rPr>
        <w:rFonts w:ascii="Wingdings" w:hAnsi="Wingdings" w:hint="default"/>
      </w:rPr>
    </w:lvl>
    <w:lvl w:ilvl="6" w:tplc="0C0A0001" w:tentative="1">
      <w:start w:val="1"/>
      <w:numFmt w:val="bullet"/>
      <w:lvlText w:val=""/>
      <w:lvlJc w:val="left"/>
      <w:pPr>
        <w:ind w:left="16022" w:hanging="360"/>
      </w:pPr>
      <w:rPr>
        <w:rFonts w:ascii="Symbol" w:hAnsi="Symbol" w:hint="default"/>
      </w:rPr>
    </w:lvl>
    <w:lvl w:ilvl="7" w:tplc="0C0A0003" w:tentative="1">
      <w:start w:val="1"/>
      <w:numFmt w:val="bullet"/>
      <w:lvlText w:val="o"/>
      <w:lvlJc w:val="left"/>
      <w:pPr>
        <w:ind w:left="16742" w:hanging="360"/>
      </w:pPr>
      <w:rPr>
        <w:rFonts w:ascii="Courier New" w:hAnsi="Courier New" w:cs="Courier New" w:hint="default"/>
      </w:rPr>
    </w:lvl>
    <w:lvl w:ilvl="8" w:tplc="0C0A0005" w:tentative="1">
      <w:start w:val="1"/>
      <w:numFmt w:val="bullet"/>
      <w:lvlText w:val=""/>
      <w:lvlJc w:val="left"/>
      <w:pPr>
        <w:ind w:left="17462" w:hanging="360"/>
      </w:pPr>
      <w:rPr>
        <w:rFonts w:ascii="Wingdings" w:hAnsi="Wingdings" w:hint="default"/>
      </w:rPr>
    </w:lvl>
  </w:abstractNum>
  <w:abstractNum w:abstractNumId="9">
    <w:nsid w:val="2AE006BC"/>
    <w:multiLevelType w:val="multilevel"/>
    <w:tmpl w:val="5C2C7C1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271711"/>
    <w:multiLevelType w:val="multilevel"/>
    <w:tmpl w:val="AB98503C"/>
    <w:lvl w:ilvl="0">
      <w:start w:val="1"/>
      <w:numFmt w:val="decimal"/>
      <w:lvlText w:val="%1"/>
      <w:lvlJc w:val="left"/>
      <w:pPr>
        <w:ind w:left="360" w:hanging="360"/>
      </w:pPr>
      <w:rPr>
        <w:rFonts w:hint="default"/>
      </w:rPr>
    </w:lvl>
    <w:lvl w:ilvl="1">
      <w:start w:val="1"/>
      <w:numFmt w:val="decimal"/>
      <w:lvlText w:val="%1.%2"/>
      <w:lvlJc w:val="left"/>
      <w:pPr>
        <w:ind w:left="520" w:hanging="360"/>
      </w:pPr>
      <w:rPr>
        <w:rFonts w:hint="default"/>
      </w:rPr>
    </w:lvl>
    <w:lvl w:ilvl="2">
      <w:start w:val="1"/>
      <w:numFmt w:val="decimal"/>
      <w:lvlText w:val="%1.%2.%3"/>
      <w:lvlJc w:val="left"/>
      <w:pPr>
        <w:ind w:left="1040" w:hanging="720"/>
      </w:pPr>
      <w:rPr>
        <w:rFonts w:hint="default"/>
      </w:rPr>
    </w:lvl>
    <w:lvl w:ilvl="3">
      <w:start w:val="1"/>
      <w:numFmt w:val="decimal"/>
      <w:lvlText w:val="%1.%2.%3.%4"/>
      <w:lvlJc w:val="left"/>
      <w:pPr>
        <w:ind w:left="1560" w:hanging="108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2240" w:hanging="144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920" w:hanging="1800"/>
      </w:pPr>
      <w:rPr>
        <w:rFonts w:hint="default"/>
      </w:rPr>
    </w:lvl>
    <w:lvl w:ilvl="8">
      <w:start w:val="1"/>
      <w:numFmt w:val="decimal"/>
      <w:lvlText w:val="%1.%2.%3.%4.%5.%6.%7.%8.%9"/>
      <w:lvlJc w:val="left"/>
      <w:pPr>
        <w:ind w:left="3080" w:hanging="1800"/>
      </w:pPr>
      <w:rPr>
        <w:rFonts w:hint="default"/>
      </w:rPr>
    </w:lvl>
  </w:abstractNum>
  <w:abstractNum w:abstractNumId="11">
    <w:nsid w:val="2DEA1B29"/>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1553883"/>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6DB1BEA"/>
    <w:multiLevelType w:val="multilevel"/>
    <w:tmpl w:val="AB98503C"/>
    <w:lvl w:ilvl="0">
      <w:start w:val="1"/>
      <w:numFmt w:val="decimal"/>
      <w:lvlText w:val="%1"/>
      <w:lvlJc w:val="left"/>
      <w:pPr>
        <w:ind w:left="360" w:hanging="360"/>
      </w:pPr>
      <w:rPr>
        <w:rFonts w:hint="default"/>
      </w:rPr>
    </w:lvl>
    <w:lvl w:ilvl="1">
      <w:start w:val="1"/>
      <w:numFmt w:val="decimal"/>
      <w:lvlText w:val="%1.%2"/>
      <w:lvlJc w:val="left"/>
      <w:pPr>
        <w:ind w:left="520" w:hanging="360"/>
      </w:pPr>
      <w:rPr>
        <w:rFonts w:hint="default"/>
      </w:rPr>
    </w:lvl>
    <w:lvl w:ilvl="2">
      <w:start w:val="1"/>
      <w:numFmt w:val="decimal"/>
      <w:lvlText w:val="%1.%2.%3"/>
      <w:lvlJc w:val="left"/>
      <w:pPr>
        <w:ind w:left="1040" w:hanging="720"/>
      </w:pPr>
      <w:rPr>
        <w:rFonts w:hint="default"/>
      </w:rPr>
    </w:lvl>
    <w:lvl w:ilvl="3">
      <w:start w:val="1"/>
      <w:numFmt w:val="decimal"/>
      <w:lvlText w:val="%1.%2.%3.%4"/>
      <w:lvlJc w:val="left"/>
      <w:pPr>
        <w:ind w:left="1560" w:hanging="108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2240" w:hanging="144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920" w:hanging="1800"/>
      </w:pPr>
      <w:rPr>
        <w:rFonts w:hint="default"/>
      </w:rPr>
    </w:lvl>
    <w:lvl w:ilvl="8">
      <w:start w:val="1"/>
      <w:numFmt w:val="decimal"/>
      <w:lvlText w:val="%1.%2.%3.%4.%5.%6.%7.%8.%9"/>
      <w:lvlJc w:val="left"/>
      <w:pPr>
        <w:ind w:left="3080" w:hanging="1800"/>
      </w:pPr>
      <w:rPr>
        <w:rFonts w:hint="default"/>
      </w:rPr>
    </w:lvl>
  </w:abstractNum>
  <w:abstractNum w:abstractNumId="14">
    <w:nsid w:val="38A556C1"/>
    <w:multiLevelType w:val="multilevel"/>
    <w:tmpl w:val="DFBA9B24"/>
    <w:lvl w:ilvl="0">
      <w:start w:val="2"/>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800" w:hanging="180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2160" w:hanging="2160"/>
      </w:pPr>
      <w:rPr>
        <w:rFonts w:hint="default"/>
        <w:sz w:val="24"/>
      </w:rPr>
    </w:lvl>
    <w:lvl w:ilvl="8">
      <w:start w:val="1"/>
      <w:numFmt w:val="decimal"/>
      <w:lvlText w:val="%1.%2.%3.%4.%5.%6.%7.%8.%9"/>
      <w:lvlJc w:val="left"/>
      <w:pPr>
        <w:ind w:left="2520" w:hanging="2520"/>
      </w:pPr>
      <w:rPr>
        <w:rFonts w:hint="default"/>
        <w:sz w:val="24"/>
      </w:rPr>
    </w:lvl>
  </w:abstractNum>
  <w:abstractNum w:abstractNumId="15">
    <w:nsid w:val="3AE35557"/>
    <w:multiLevelType w:val="hybridMultilevel"/>
    <w:tmpl w:val="3F285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21D1BC3"/>
    <w:multiLevelType w:val="hybridMultilevel"/>
    <w:tmpl w:val="95C4F5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65F6ACF"/>
    <w:multiLevelType w:val="multilevel"/>
    <w:tmpl w:val="BBF8B3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9644D70"/>
    <w:multiLevelType w:val="hybridMultilevel"/>
    <w:tmpl w:val="226CCA38"/>
    <w:lvl w:ilvl="0" w:tplc="A19A1432">
      <w:start w:val="1"/>
      <w:numFmt w:val="upp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9">
    <w:nsid w:val="4CB03B7E"/>
    <w:multiLevelType w:val="multilevel"/>
    <w:tmpl w:val="AB9850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40" w:hanging="720"/>
      </w:pPr>
      <w:rPr>
        <w:rFonts w:hint="default"/>
      </w:rPr>
    </w:lvl>
    <w:lvl w:ilvl="3">
      <w:start w:val="1"/>
      <w:numFmt w:val="decimal"/>
      <w:lvlText w:val="%1.%2.%3.%4"/>
      <w:lvlJc w:val="left"/>
      <w:pPr>
        <w:ind w:left="1560" w:hanging="108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2240" w:hanging="144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920" w:hanging="1800"/>
      </w:pPr>
      <w:rPr>
        <w:rFonts w:hint="default"/>
      </w:rPr>
    </w:lvl>
    <w:lvl w:ilvl="8">
      <w:start w:val="1"/>
      <w:numFmt w:val="decimal"/>
      <w:lvlText w:val="%1.%2.%3.%4.%5.%6.%7.%8.%9"/>
      <w:lvlJc w:val="left"/>
      <w:pPr>
        <w:ind w:left="3080" w:hanging="1800"/>
      </w:pPr>
      <w:rPr>
        <w:rFonts w:hint="default"/>
      </w:rPr>
    </w:lvl>
  </w:abstractNum>
  <w:abstractNum w:abstractNumId="20">
    <w:nsid w:val="54045A32"/>
    <w:multiLevelType w:val="hybridMultilevel"/>
    <w:tmpl w:val="D568789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70536D7D"/>
    <w:multiLevelType w:val="multilevel"/>
    <w:tmpl w:val="56F08BF0"/>
    <w:lvl w:ilvl="0">
      <w:start w:val="2"/>
      <w:numFmt w:val="decimal"/>
      <w:lvlText w:val="%1"/>
      <w:lvlJc w:val="left"/>
      <w:pPr>
        <w:ind w:left="420" w:hanging="42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nsid w:val="705960E5"/>
    <w:multiLevelType w:val="hybridMultilevel"/>
    <w:tmpl w:val="E8AE0C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4C046BB"/>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78647515"/>
    <w:multiLevelType w:val="hybridMultilevel"/>
    <w:tmpl w:val="F72A86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FE7269B"/>
    <w:multiLevelType w:val="hybridMultilevel"/>
    <w:tmpl w:val="61BC092C"/>
    <w:lvl w:ilvl="0" w:tplc="0C0A0001">
      <w:start w:val="1"/>
      <w:numFmt w:val="bullet"/>
      <w:lvlText w:val=""/>
      <w:lvlJc w:val="left"/>
      <w:pPr>
        <w:ind w:left="738" w:hanging="360"/>
      </w:pPr>
      <w:rPr>
        <w:rFonts w:ascii="Symbol" w:hAnsi="Symbol" w:hint="default"/>
      </w:rPr>
    </w:lvl>
    <w:lvl w:ilvl="1" w:tplc="0C0A0003" w:tentative="1">
      <w:start w:val="1"/>
      <w:numFmt w:val="bullet"/>
      <w:lvlText w:val="o"/>
      <w:lvlJc w:val="left"/>
      <w:pPr>
        <w:ind w:left="1458" w:hanging="360"/>
      </w:pPr>
      <w:rPr>
        <w:rFonts w:ascii="Courier New" w:hAnsi="Courier New" w:cs="Courier New" w:hint="default"/>
      </w:rPr>
    </w:lvl>
    <w:lvl w:ilvl="2" w:tplc="0C0A0005" w:tentative="1">
      <w:start w:val="1"/>
      <w:numFmt w:val="bullet"/>
      <w:lvlText w:val=""/>
      <w:lvlJc w:val="left"/>
      <w:pPr>
        <w:ind w:left="2178" w:hanging="360"/>
      </w:pPr>
      <w:rPr>
        <w:rFonts w:ascii="Wingdings" w:hAnsi="Wingdings" w:hint="default"/>
      </w:rPr>
    </w:lvl>
    <w:lvl w:ilvl="3" w:tplc="0C0A0001" w:tentative="1">
      <w:start w:val="1"/>
      <w:numFmt w:val="bullet"/>
      <w:lvlText w:val=""/>
      <w:lvlJc w:val="left"/>
      <w:pPr>
        <w:ind w:left="2898" w:hanging="360"/>
      </w:pPr>
      <w:rPr>
        <w:rFonts w:ascii="Symbol" w:hAnsi="Symbol" w:hint="default"/>
      </w:rPr>
    </w:lvl>
    <w:lvl w:ilvl="4" w:tplc="0C0A0003" w:tentative="1">
      <w:start w:val="1"/>
      <w:numFmt w:val="bullet"/>
      <w:lvlText w:val="o"/>
      <w:lvlJc w:val="left"/>
      <w:pPr>
        <w:ind w:left="3618" w:hanging="360"/>
      </w:pPr>
      <w:rPr>
        <w:rFonts w:ascii="Courier New" w:hAnsi="Courier New" w:cs="Courier New" w:hint="default"/>
      </w:rPr>
    </w:lvl>
    <w:lvl w:ilvl="5" w:tplc="0C0A0005" w:tentative="1">
      <w:start w:val="1"/>
      <w:numFmt w:val="bullet"/>
      <w:lvlText w:val=""/>
      <w:lvlJc w:val="left"/>
      <w:pPr>
        <w:ind w:left="4338" w:hanging="360"/>
      </w:pPr>
      <w:rPr>
        <w:rFonts w:ascii="Wingdings" w:hAnsi="Wingdings" w:hint="default"/>
      </w:rPr>
    </w:lvl>
    <w:lvl w:ilvl="6" w:tplc="0C0A0001" w:tentative="1">
      <w:start w:val="1"/>
      <w:numFmt w:val="bullet"/>
      <w:lvlText w:val=""/>
      <w:lvlJc w:val="left"/>
      <w:pPr>
        <w:ind w:left="5058" w:hanging="360"/>
      </w:pPr>
      <w:rPr>
        <w:rFonts w:ascii="Symbol" w:hAnsi="Symbol" w:hint="default"/>
      </w:rPr>
    </w:lvl>
    <w:lvl w:ilvl="7" w:tplc="0C0A0003" w:tentative="1">
      <w:start w:val="1"/>
      <w:numFmt w:val="bullet"/>
      <w:lvlText w:val="o"/>
      <w:lvlJc w:val="left"/>
      <w:pPr>
        <w:ind w:left="5778" w:hanging="360"/>
      </w:pPr>
      <w:rPr>
        <w:rFonts w:ascii="Courier New" w:hAnsi="Courier New" w:cs="Courier New" w:hint="default"/>
      </w:rPr>
    </w:lvl>
    <w:lvl w:ilvl="8" w:tplc="0C0A0005" w:tentative="1">
      <w:start w:val="1"/>
      <w:numFmt w:val="bullet"/>
      <w:lvlText w:val=""/>
      <w:lvlJc w:val="left"/>
      <w:pPr>
        <w:ind w:left="6498" w:hanging="360"/>
      </w:pPr>
      <w:rPr>
        <w:rFonts w:ascii="Wingdings" w:hAnsi="Wingdings" w:hint="default"/>
      </w:rPr>
    </w:lvl>
  </w:abstractNum>
  <w:num w:numId="1">
    <w:abstractNumId w:val="10"/>
  </w:num>
  <w:num w:numId="2">
    <w:abstractNumId w:val="22"/>
  </w:num>
  <w:num w:numId="3">
    <w:abstractNumId w:val="14"/>
  </w:num>
  <w:num w:numId="4">
    <w:abstractNumId w:val="21"/>
  </w:num>
  <w:num w:numId="5">
    <w:abstractNumId w:val="25"/>
  </w:num>
  <w:num w:numId="6">
    <w:abstractNumId w:val="8"/>
  </w:num>
  <w:num w:numId="7">
    <w:abstractNumId w:val="16"/>
  </w:num>
  <w:num w:numId="8">
    <w:abstractNumId w:val="7"/>
  </w:num>
  <w:num w:numId="9">
    <w:abstractNumId w:val="13"/>
  </w:num>
  <w:num w:numId="10">
    <w:abstractNumId w:val="6"/>
  </w:num>
  <w:num w:numId="11">
    <w:abstractNumId w:val="11"/>
  </w:num>
  <w:num w:numId="12">
    <w:abstractNumId w:val="20"/>
  </w:num>
  <w:num w:numId="13">
    <w:abstractNumId w:val="3"/>
  </w:num>
  <w:num w:numId="14">
    <w:abstractNumId w:val="19"/>
  </w:num>
  <w:num w:numId="15">
    <w:abstractNumId w:val="4"/>
  </w:num>
  <w:num w:numId="16">
    <w:abstractNumId w:val="12"/>
  </w:num>
  <w:num w:numId="17">
    <w:abstractNumId w:val="17"/>
  </w:num>
  <w:num w:numId="18">
    <w:abstractNumId w:val="9"/>
  </w:num>
  <w:num w:numId="19">
    <w:abstractNumId w:val="18"/>
  </w:num>
  <w:num w:numId="20">
    <w:abstractNumId w:val="24"/>
  </w:num>
  <w:num w:numId="21">
    <w:abstractNumId w:val="1"/>
  </w:num>
  <w:num w:numId="22">
    <w:abstractNumId w:val="15"/>
  </w:num>
  <w:num w:numId="23">
    <w:abstractNumId w:val="2"/>
  </w:num>
  <w:num w:numId="24">
    <w:abstractNumId w:val="5"/>
  </w:num>
  <w:num w:numId="25">
    <w:abstractNumId w:val="23"/>
  </w:num>
  <w:num w:numId="26">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de Microsoft Office">
    <w15:presenceInfo w15:providerId="None" w15:userId="Usuario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65A"/>
    <w:rsid w:val="000058E4"/>
    <w:rsid w:val="000075A7"/>
    <w:rsid w:val="0001413E"/>
    <w:rsid w:val="00024246"/>
    <w:rsid w:val="00025A69"/>
    <w:rsid w:val="00046388"/>
    <w:rsid w:val="00051BD3"/>
    <w:rsid w:val="00052BDC"/>
    <w:rsid w:val="00054E64"/>
    <w:rsid w:val="00070A4C"/>
    <w:rsid w:val="00072EAB"/>
    <w:rsid w:val="00073075"/>
    <w:rsid w:val="00075604"/>
    <w:rsid w:val="000814CE"/>
    <w:rsid w:val="00092431"/>
    <w:rsid w:val="0009257E"/>
    <w:rsid w:val="00097486"/>
    <w:rsid w:val="000A17A7"/>
    <w:rsid w:val="000A1D7D"/>
    <w:rsid w:val="000A20AC"/>
    <w:rsid w:val="000A274D"/>
    <w:rsid w:val="000B4D4E"/>
    <w:rsid w:val="000C0BBE"/>
    <w:rsid w:val="000D6D3B"/>
    <w:rsid w:val="000E361D"/>
    <w:rsid w:val="000E75D7"/>
    <w:rsid w:val="000F3BAF"/>
    <w:rsid w:val="0010107F"/>
    <w:rsid w:val="0010191F"/>
    <w:rsid w:val="0010194C"/>
    <w:rsid w:val="00105DD4"/>
    <w:rsid w:val="001121AA"/>
    <w:rsid w:val="0011584B"/>
    <w:rsid w:val="00115B73"/>
    <w:rsid w:val="00123A3A"/>
    <w:rsid w:val="00132F20"/>
    <w:rsid w:val="001513AF"/>
    <w:rsid w:val="00155FDB"/>
    <w:rsid w:val="00157144"/>
    <w:rsid w:val="001578D4"/>
    <w:rsid w:val="00164F42"/>
    <w:rsid w:val="00177216"/>
    <w:rsid w:val="00191C3B"/>
    <w:rsid w:val="001A45D5"/>
    <w:rsid w:val="001B666C"/>
    <w:rsid w:val="001D1E01"/>
    <w:rsid w:val="001D23E3"/>
    <w:rsid w:val="001D2695"/>
    <w:rsid w:val="001D37B1"/>
    <w:rsid w:val="001E1104"/>
    <w:rsid w:val="001E2A56"/>
    <w:rsid w:val="001E6591"/>
    <w:rsid w:val="001F58F3"/>
    <w:rsid w:val="00211590"/>
    <w:rsid w:val="0021798E"/>
    <w:rsid w:val="00225F87"/>
    <w:rsid w:val="00227758"/>
    <w:rsid w:val="00231A65"/>
    <w:rsid w:val="00251AEC"/>
    <w:rsid w:val="00252AF5"/>
    <w:rsid w:val="00266C38"/>
    <w:rsid w:val="00271FB7"/>
    <w:rsid w:val="0027717A"/>
    <w:rsid w:val="002800C5"/>
    <w:rsid w:val="0028435A"/>
    <w:rsid w:val="002A0230"/>
    <w:rsid w:val="002A5899"/>
    <w:rsid w:val="002B1591"/>
    <w:rsid w:val="002C1187"/>
    <w:rsid w:val="002C39C3"/>
    <w:rsid w:val="002E34A6"/>
    <w:rsid w:val="002F59CD"/>
    <w:rsid w:val="002F66FE"/>
    <w:rsid w:val="002F7A76"/>
    <w:rsid w:val="00301202"/>
    <w:rsid w:val="00307CEB"/>
    <w:rsid w:val="00312E8A"/>
    <w:rsid w:val="00322EB7"/>
    <w:rsid w:val="00326A8A"/>
    <w:rsid w:val="00327D45"/>
    <w:rsid w:val="00346015"/>
    <w:rsid w:val="003708BA"/>
    <w:rsid w:val="003734FF"/>
    <w:rsid w:val="003A01ED"/>
    <w:rsid w:val="003A1483"/>
    <w:rsid w:val="003A25E2"/>
    <w:rsid w:val="003A43C8"/>
    <w:rsid w:val="003B2E43"/>
    <w:rsid w:val="003B3F96"/>
    <w:rsid w:val="003B680E"/>
    <w:rsid w:val="003C1FAB"/>
    <w:rsid w:val="003C32A7"/>
    <w:rsid w:val="003C4F5A"/>
    <w:rsid w:val="003D7E95"/>
    <w:rsid w:val="003E6F14"/>
    <w:rsid w:val="003E76CD"/>
    <w:rsid w:val="004110E4"/>
    <w:rsid w:val="004113B5"/>
    <w:rsid w:val="004200E0"/>
    <w:rsid w:val="004402CE"/>
    <w:rsid w:val="00442772"/>
    <w:rsid w:val="004465CD"/>
    <w:rsid w:val="004520F3"/>
    <w:rsid w:val="00455DA4"/>
    <w:rsid w:val="0046143D"/>
    <w:rsid w:val="0046565A"/>
    <w:rsid w:val="00472743"/>
    <w:rsid w:val="004772FA"/>
    <w:rsid w:val="00481938"/>
    <w:rsid w:val="0048713E"/>
    <w:rsid w:val="00487A98"/>
    <w:rsid w:val="0049120A"/>
    <w:rsid w:val="00493553"/>
    <w:rsid w:val="004A0656"/>
    <w:rsid w:val="004A5D87"/>
    <w:rsid w:val="004B1392"/>
    <w:rsid w:val="004C1D41"/>
    <w:rsid w:val="004C3B05"/>
    <w:rsid w:val="004F20A2"/>
    <w:rsid w:val="005010ED"/>
    <w:rsid w:val="00501DC2"/>
    <w:rsid w:val="00503CF9"/>
    <w:rsid w:val="00506FAB"/>
    <w:rsid w:val="005116ED"/>
    <w:rsid w:val="00513CAC"/>
    <w:rsid w:val="005253FE"/>
    <w:rsid w:val="00526C59"/>
    <w:rsid w:val="0052755D"/>
    <w:rsid w:val="00536B43"/>
    <w:rsid w:val="00551762"/>
    <w:rsid w:val="00554336"/>
    <w:rsid w:val="00554C85"/>
    <w:rsid w:val="00573D37"/>
    <w:rsid w:val="0057458D"/>
    <w:rsid w:val="005A174F"/>
    <w:rsid w:val="005A7130"/>
    <w:rsid w:val="005B186A"/>
    <w:rsid w:val="005B3FD2"/>
    <w:rsid w:val="005B4BB9"/>
    <w:rsid w:val="005C3836"/>
    <w:rsid w:val="005C74F4"/>
    <w:rsid w:val="005D5FD3"/>
    <w:rsid w:val="005E28E2"/>
    <w:rsid w:val="006019EE"/>
    <w:rsid w:val="00616ADE"/>
    <w:rsid w:val="006375D2"/>
    <w:rsid w:val="00646B37"/>
    <w:rsid w:val="006643B9"/>
    <w:rsid w:val="00671DBF"/>
    <w:rsid w:val="006727E0"/>
    <w:rsid w:val="0067707E"/>
    <w:rsid w:val="0067778B"/>
    <w:rsid w:val="00682B91"/>
    <w:rsid w:val="0068644F"/>
    <w:rsid w:val="00695261"/>
    <w:rsid w:val="006959F8"/>
    <w:rsid w:val="0069606D"/>
    <w:rsid w:val="00696F6F"/>
    <w:rsid w:val="006A63F9"/>
    <w:rsid w:val="006C0125"/>
    <w:rsid w:val="006C421C"/>
    <w:rsid w:val="006C4777"/>
    <w:rsid w:val="006C6041"/>
    <w:rsid w:val="006E4E50"/>
    <w:rsid w:val="006E4FFE"/>
    <w:rsid w:val="006E5929"/>
    <w:rsid w:val="006F0B48"/>
    <w:rsid w:val="006F21E2"/>
    <w:rsid w:val="00701C18"/>
    <w:rsid w:val="00721CF1"/>
    <w:rsid w:val="00722E51"/>
    <w:rsid w:val="00730AF4"/>
    <w:rsid w:val="0073770B"/>
    <w:rsid w:val="007406D1"/>
    <w:rsid w:val="0075560C"/>
    <w:rsid w:val="00757949"/>
    <w:rsid w:val="00761E5E"/>
    <w:rsid w:val="00770D28"/>
    <w:rsid w:val="007760C0"/>
    <w:rsid w:val="0079547D"/>
    <w:rsid w:val="00797369"/>
    <w:rsid w:val="007B2935"/>
    <w:rsid w:val="007B4266"/>
    <w:rsid w:val="007C3F01"/>
    <w:rsid w:val="007D56C1"/>
    <w:rsid w:val="007E0D6F"/>
    <w:rsid w:val="007F0049"/>
    <w:rsid w:val="008024CB"/>
    <w:rsid w:val="008062FB"/>
    <w:rsid w:val="008113C7"/>
    <w:rsid w:val="00814976"/>
    <w:rsid w:val="00823E23"/>
    <w:rsid w:val="008248BC"/>
    <w:rsid w:val="00835C07"/>
    <w:rsid w:val="008635A7"/>
    <w:rsid w:val="00866528"/>
    <w:rsid w:val="00876E32"/>
    <w:rsid w:val="0088617D"/>
    <w:rsid w:val="00891A92"/>
    <w:rsid w:val="00892FB9"/>
    <w:rsid w:val="00895670"/>
    <w:rsid w:val="008A5ABA"/>
    <w:rsid w:val="008B5ACF"/>
    <w:rsid w:val="008B7D5E"/>
    <w:rsid w:val="008C1D24"/>
    <w:rsid w:val="008E31EC"/>
    <w:rsid w:val="008F0890"/>
    <w:rsid w:val="008F140E"/>
    <w:rsid w:val="008F7374"/>
    <w:rsid w:val="009012F4"/>
    <w:rsid w:val="009219F7"/>
    <w:rsid w:val="009350D0"/>
    <w:rsid w:val="00945D3E"/>
    <w:rsid w:val="00947664"/>
    <w:rsid w:val="00953CDE"/>
    <w:rsid w:val="00961E10"/>
    <w:rsid w:val="00975935"/>
    <w:rsid w:val="00986800"/>
    <w:rsid w:val="009A13B4"/>
    <w:rsid w:val="009A226C"/>
    <w:rsid w:val="009B20D2"/>
    <w:rsid w:val="009B7381"/>
    <w:rsid w:val="009B7887"/>
    <w:rsid w:val="009D658B"/>
    <w:rsid w:val="009F09D6"/>
    <w:rsid w:val="009F4BA7"/>
    <w:rsid w:val="009F5B57"/>
    <w:rsid w:val="00A02F95"/>
    <w:rsid w:val="00A05DD5"/>
    <w:rsid w:val="00A0684A"/>
    <w:rsid w:val="00A13677"/>
    <w:rsid w:val="00A14CC5"/>
    <w:rsid w:val="00A312CF"/>
    <w:rsid w:val="00A329E1"/>
    <w:rsid w:val="00A42E56"/>
    <w:rsid w:val="00A62446"/>
    <w:rsid w:val="00A7442C"/>
    <w:rsid w:val="00A931B2"/>
    <w:rsid w:val="00A94CED"/>
    <w:rsid w:val="00A97B2D"/>
    <w:rsid w:val="00AB6745"/>
    <w:rsid w:val="00AC5FFA"/>
    <w:rsid w:val="00AC63A1"/>
    <w:rsid w:val="00AC7B50"/>
    <w:rsid w:val="00AE265E"/>
    <w:rsid w:val="00AE477C"/>
    <w:rsid w:val="00AE56EE"/>
    <w:rsid w:val="00AF58A1"/>
    <w:rsid w:val="00B053D6"/>
    <w:rsid w:val="00B069E4"/>
    <w:rsid w:val="00B170EF"/>
    <w:rsid w:val="00B40AC3"/>
    <w:rsid w:val="00B43E1F"/>
    <w:rsid w:val="00B5625D"/>
    <w:rsid w:val="00B61778"/>
    <w:rsid w:val="00B73C2B"/>
    <w:rsid w:val="00B84454"/>
    <w:rsid w:val="00B85472"/>
    <w:rsid w:val="00B8729E"/>
    <w:rsid w:val="00B90BD2"/>
    <w:rsid w:val="00BB012A"/>
    <w:rsid w:val="00BB3ACD"/>
    <w:rsid w:val="00BB660F"/>
    <w:rsid w:val="00BB6FF5"/>
    <w:rsid w:val="00BC565A"/>
    <w:rsid w:val="00BC692D"/>
    <w:rsid w:val="00BE6686"/>
    <w:rsid w:val="00BE6FDD"/>
    <w:rsid w:val="00BF0AB8"/>
    <w:rsid w:val="00C06940"/>
    <w:rsid w:val="00C079C8"/>
    <w:rsid w:val="00C12867"/>
    <w:rsid w:val="00C128C4"/>
    <w:rsid w:val="00C17980"/>
    <w:rsid w:val="00C17C30"/>
    <w:rsid w:val="00C3667C"/>
    <w:rsid w:val="00C37681"/>
    <w:rsid w:val="00C40539"/>
    <w:rsid w:val="00C45659"/>
    <w:rsid w:val="00C46DDB"/>
    <w:rsid w:val="00C538FB"/>
    <w:rsid w:val="00C77C0B"/>
    <w:rsid w:val="00C8161B"/>
    <w:rsid w:val="00C90FE2"/>
    <w:rsid w:val="00CA4B89"/>
    <w:rsid w:val="00CB2CC8"/>
    <w:rsid w:val="00CB430D"/>
    <w:rsid w:val="00CB4F6C"/>
    <w:rsid w:val="00CC7D47"/>
    <w:rsid w:val="00CD3EC1"/>
    <w:rsid w:val="00CE481F"/>
    <w:rsid w:val="00CE7A96"/>
    <w:rsid w:val="00CF08EB"/>
    <w:rsid w:val="00CF24FB"/>
    <w:rsid w:val="00D1686C"/>
    <w:rsid w:val="00D21A3E"/>
    <w:rsid w:val="00D229E1"/>
    <w:rsid w:val="00D27D93"/>
    <w:rsid w:val="00D51536"/>
    <w:rsid w:val="00D541EC"/>
    <w:rsid w:val="00D638A7"/>
    <w:rsid w:val="00D64BF4"/>
    <w:rsid w:val="00D72C4C"/>
    <w:rsid w:val="00D920D6"/>
    <w:rsid w:val="00D938DB"/>
    <w:rsid w:val="00DA1CF5"/>
    <w:rsid w:val="00DA533B"/>
    <w:rsid w:val="00DB78B3"/>
    <w:rsid w:val="00DC29E5"/>
    <w:rsid w:val="00DD06CD"/>
    <w:rsid w:val="00DD0C9A"/>
    <w:rsid w:val="00DE36E4"/>
    <w:rsid w:val="00DE7BB3"/>
    <w:rsid w:val="00DE7D5E"/>
    <w:rsid w:val="00E12A2F"/>
    <w:rsid w:val="00E16834"/>
    <w:rsid w:val="00E360E4"/>
    <w:rsid w:val="00E4108D"/>
    <w:rsid w:val="00E448D2"/>
    <w:rsid w:val="00E56A71"/>
    <w:rsid w:val="00E577D7"/>
    <w:rsid w:val="00E607B6"/>
    <w:rsid w:val="00E65574"/>
    <w:rsid w:val="00E745F8"/>
    <w:rsid w:val="00E75945"/>
    <w:rsid w:val="00E83EC6"/>
    <w:rsid w:val="00E866B8"/>
    <w:rsid w:val="00E91CC1"/>
    <w:rsid w:val="00E965E4"/>
    <w:rsid w:val="00EC7632"/>
    <w:rsid w:val="00EC7867"/>
    <w:rsid w:val="00EC7878"/>
    <w:rsid w:val="00ED0C28"/>
    <w:rsid w:val="00ED4069"/>
    <w:rsid w:val="00ED6285"/>
    <w:rsid w:val="00EE7AD9"/>
    <w:rsid w:val="00EF135C"/>
    <w:rsid w:val="00EF403B"/>
    <w:rsid w:val="00F0368A"/>
    <w:rsid w:val="00F13D72"/>
    <w:rsid w:val="00F22193"/>
    <w:rsid w:val="00F25F0B"/>
    <w:rsid w:val="00F2798B"/>
    <w:rsid w:val="00F3441F"/>
    <w:rsid w:val="00F47E6D"/>
    <w:rsid w:val="00F566C7"/>
    <w:rsid w:val="00F57348"/>
    <w:rsid w:val="00F703BD"/>
    <w:rsid w:val="00F75D05"/>
    <w:rsid w:val="00F7798C"/>
    <w:rsid w:val="00F93A5B"/>
    <w:rsid w:val="00F94958"/>
    <w:rsid w:val="00FA2C1F"/>
    <w:rsid w:val="00FA77C1"/>
    <w:rsid w:val="00FB0DB7"/>
    <w:rsid w:val="00FF5B3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439F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65A"/>
  </w:style>
  <w:style w:type="paragraph" w:styleId="Ttulo1">
    <w:name w:val="heading 1"/>
    <w:basedOn w:val="Normal"/>
    <w:next w:val="Normal"/>
    <w:link w:val="Ttulo1Car"/>
    <w:uiPriority w:val="9"/>
    <w:qFormat/>
    <w:rsid w:val="0046565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65A"/>
    <w:rPr>
      <w:rFonts w:asciiTheme="majorHAnsi" w:eastAsiaTheme="majorEastAsia" w:hAnsiTheme="majorHAnsi" w:cstheme="majorBidi"/>
      <w:b/>
      <w:bCs/>
      <w:color w:val="365F91" w:themeColor="accent1" w:themeShade="BF"/>
      <w:sz w:val="28"/>
      <w:szCs w:val="28"/>
    </w:rPr>
  </w:style>
  <w:style w:type="character" w:styleId="Refdecomentario">
    <w:name w:val="annotation reference"/>
    <w:basedOn w:val="Fuentedeprrafopredeter"/>
    <w:uiPriority w:val="99"/>
    <w:semiHidden/>
    <w:unhideWhenUsed/>
    <w:rsid w:val="0046565A"/>
    <w:rPr>
      <w:sz w:val="16"/>
      <w:szCs w:val="16"/>
    </w:rPr>
  </w:style>
  <w:style w:type="paragraph" w:styleId="Textocomentario">
    <w:name w:val="annotation text"/>
    <w:basedOn w:val="Normal"/>
    <w:link w:val="TextocomentarioCar"/>
    <w:uiPriority w:val="99"/>
    <w:unhideWhenUsed/>
    <w:rsid w:val="0046565A"/>
    <w:rPr>
      <w:sz w:val="20"/>
      <w:szCs w:val="20"/>
    </w:rPr>
  </w:style>
  <w:style w:type="character" w:customStyle="1" w:styleId="TextocomentarioCar">
    <w:name w:val="Texto comentario Car"/>
    <w:basedOn w:val="Fuentedeprrafopredeter"/>
    <w:link w:val="Textocomentario"/>
    <w:uiPriority w:val="99"/>
    <w:rsid w:val="0046565A"/>
    <w:rPr>
      <w:sz w:val="20"/>
      <w:szCs w:val="20"/>
    </w:rPr>
  </w:style>
  <w:style w:type="paragraph" w:styleId="Textodeglobo">
    <w:name w:val="Balloon Text"/>
    <w:basedOn w:val="Normal"/>
    <w:link w:val="TextodegloboCar"/>
    <w:uiPriority w:val="99"/>
    <w:semiHidden/>
    <w:unhideWhenUsed/>
    <w:rsid w:val="0046565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6565A"/>
    <w:rPr>
      <w:rFonts w:ascii="Lucida Grande" w:hAnsi="Lucida Grande" w:cs="Lucida Grande"/>
      <w:sz w:val="18"/>
      <w:szCs w:val="18"/>
    </w:rPr>
  </w:style>
  <w:style w:type="paragraph" w:styleId="Prrafodelista">
    <w:name w:val="List Paragraph"/>
    <w:basedOn w:val="Normal"/>
    <w:uiPriority w:val="34"/>
    <w:qFormat/>
    <w:rsid w:val="0046565A"/>
    <w:pPr>
      <w:ind w:left="720"/>
      <w:contextualSpacing/>
    </w:pPr>
  </w:style>
  <w:style w:type="paragraph" w:styleId="NormalWeb">
    <w:name w:val="Normal (Web)"/>
    <w:basedOn w:val="Normal"/>
    <w:uiPriority w:val="99"/>
    <w:unhideWhenUsed/>
    <w:rsid w:val="0046565A"/>
    <w:pPr>
      <w:spacing w:before="100" w:beforeAutospacing="1" w:after="100" w:afterAutospacing="1"/>
    </w:pPr>
    <w:rPr>
      <w:rFonts w:ascii="Times" w:hAnsi="Times" w:cs="Times New Roman"/>
      <w:sz w:val="20"/>
      <w:szCs w:val="20"/>
    </w:rPr>
  </w:style>
  <w:style w:type="table" w:styleId="Sombreadoclaro-nfasis2">
    <w:name w:val="Light Shading Accent 2"/>
    <w:basedOn w:val="Tablanormal"/>
    <w:uiPriority w:val="60"/>
    <w:rsid w:val="0046565A"/>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Hipervnculo">
    <w:name w:val="Hyperlink"/>
    <w:basedOn w:val="Fuentedeprrafopredeter"/>
    <w:uiPriority w:val="99"/>
    <w:unhideWhenUsed/>
    <w:rsid w:val="0046565A"/>
    <w:rPr>
      <w:color w:val="0000FF" w:themeColor="hyperlink"/>
      <w:u w:val="single"/>
    </w:rPr>
  </w:style>
  <w:style w:type="paragraph" w:styleId="Bibliografa">
    <w:name w:val="Bibliography"/>
    <w:basedOn w:val="Normal"/>
    <w:next w:val="Normal"/>
    <w:uiPriority w:val="37"/>
    <w:unhideWhenUsed/>
    <w:rsid w:val="0046565A"/>
  </w:style>
  <w:style w:type="table" w:styleId="Sombreadomediano1-nfasis6">
    <w:name w:val="Medium Shading 1 Accent 6"/>
    <w:basedOn w:val="Tablanormal"/>
    <w:uiPriority w:val="63"/>
    <w:rsid w:val="0046565A"/>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uadrculamulticolor-nfasis1">
    <w:name w:val="Colorful Grid Accent 1"/>
    <w:basedOn w:val="Tablanormal"/>
    <w:uiPriority w:val="73"/>
    <w:rsid w:val="004656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ulticolor-nfasis2">
    <w:name w:val="Colorful Grid Accent 2"/>
    <w:basedOn w:val="Tablanormal"/>
    <w:uiPriority w:val="73"/>
    <w:rsid w:val="004656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ulticolor-nfasis3">
    <w:name w:val="Colorful Grid Accent 3"/>
    <w:basedOn w:val="Tablanormal"/>
    <w:uiPriority w:val="73"/>
    <w:rsid w:val="00BE6686"/>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ulticolor-nfasis5">
    <w:name w:val="Colorful Grid Accent 5"/>
    <w:basedOn w:val="Tablanormal"/>
    <w:uiPriority w:val="73"/>
    <w:rsid w:val="00BE6686"/>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ombreadoclaro-nfasis1">
    <w:name w:val="Light Shading Accent 1"/>
    <w:basedOn w:val="Tablanormal"/>
    <w:uiPriority w:val="60"/>
    <w:rsid w:val="004F20A2"/>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3">
    <w:name w:val="Light Shading Accent 3"/>
    <w:basedOn w:val="Tablanormal"/>
    <w:uiPriority w:val="60"/>
    <w:rsid w:val="00A312CF"/>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aconcuadrcula">
    <w:name w:val="Table Grid"/>
    <w:basedOn w:val="Tablanormal"/>
    <w:uiPriority w:val="59"/>
    <w:rsid w:val="00C179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8644F"/>
    <w:pPr>
      <w:tabs>
        <w:tab w:val="center" w:pos="4419"/>
        <w:tab w:val="right" w:pos="8838"/>
      </w:tabs>
    </w:pPr>
  </w:style>
  <w:style w:type="character" w:customStyle="1" w:styleId="EncabezadoCar">
    <w:name w:val="Encabezado Car"/>
    <w:basedOn w:val="Fuentedeprrafopredeter"/>
    <w:link w:val="Encabezado"/>
    <w:uiPriority w:val="99"/>
    <w:rsid w:val="0068644F"/>
  </w:style>
  <w:style w:type="paragraph" w:styleId="Piedepgina">
    <w:name w:val="footer"/>
    <w:basedOn w:val="Normal"/>
    <w:link w:val="PiedepginaCar"/>
    <w:uiPriority w:val="99"/>
    <w:unhideWhenUsed/>
    <w:rsid w:val="0068644F"/>
    <w:pPr>
      <w:tabs>
        <w:tab w:val="center" w:pos="4419"/>
        <w:tab w:val="right" w:pos="8838"/>
      </w:tabs>
    </w:pPr>
  </w:style>
  <w:style w:type="character" w:customStyle="1" w:styleId="PiedepginaCar">
    <w:name w:val="Pie de página Car"/>
    <w:basedOn w:val="Fuentedeprrafopredeter"/>
    <w:link w:val="Piedepgina"/>
    <w:uiPriority w:val="99"/>
    <w:rsid w:val="0068644F"/>
  </w:style>
  <w:style w:type="character" w:styleId="Nmerodepgina">
    <w:name w:val="page number"/>
    <w:basedOn w:val="Fuentedeprrafopredeter"/>
    <w:uiPriority w:val="99"/>
    <w:semiHidden/>
    <w:unhideWhenUsed/>
    <w:rsid w:val="00DD0C9A"/>
  </w:style>
  <w:style w:type="paragraph" w:styleId="Asuntodelcomentario">
    <w:name w:val="annotation subject"/>
    <w:basedOn w:val="Textocomentario"/>
    <w:next w:val="Textocomentario"/>
    <w:link w:val="AsuntodelcomentarioCar"/>
    <w:uiPriority w:val="99"/>
    <w:semiHidden/>
    <w:unhideWhenUsed/>
    <w:rsid w:val="001E6591"/>
    <w:rPr>
      <w:b/>
      <w:bCs/>
    </w:rPr>
  </w:style>
  <w:style w:type="character" w:customStyle="1" w:styleId="AsuntodelcomentarioCar">
    <w:name w:val="Asunto del comentario Car"/>
    <w:basedOn w:val="TextocomentarioCar"/>
    <w:link w:val="Asuntodelcomentario"/>
    <w:uiPriority w:val="99"/>
    <w:semiHidden/>
    <w:rsid w:val="001E6591"/>
    <w:rPr>
      <w:b/>
      <w:bCs/>
      <w:sz w:val="20"/>
      <w:szCs w:val="20"/>
    </w:rPr>
  </w:style>
  <w:style w:type="paragraph" w:styleId="Textonotapie">
    <w:name w:val="footnote text"/>
    <w:basedOn w:val="Normal"/>
    <w:link w:val="TextonotapieCar"/>
    <w:uiPriority w:val="99"/>
    <w:unhideWhenUsed/>
    <w:rsid w:val="006E5929"/>
  </w:style>
  <w:style w:type="character" w:customStyle="1" w:styleId="TextonotapieCar">
    <w:name w:val="Texto nota pie Car"/>
    <w:basedOn w:val="Fuentedeprrafopredeter"/>
    <w:link w:val="Textonotapie"/>
    <w:uiPriority w:val="99"/>
    <w:rsid w:val="006E5929"/>
  </w:style>
  <w:style w:type="character" w:styleId="Refdenotaalpie">
    <w:name w:val="footnote reference"/>
    <w:basedOn w:val="Fuentedeprrafopredeter"/>
    <w:uiPriority w:val="99"/>
    <w:unhideWhenUsed/>
    <w:rsid w:val="006E5929"/>
    <w:rPr>
      <w:vertAlign w:val="superscript"/>
    </w:rPr>
  </w:style>
  <w:style w:type="character" w:styleId="Hipervnculovisitado">
    <w:name w:val="FollowedHyperlink"/>
    <w:basedOn w:val="Fuentedeprrafopredeter"/>
    <w:uiPriority w:val="99"/>
    <w:semiHidden/>
    <w:unhideWhenUsed/>
    <w:rsid w:val="00E83EC6"/>
    <w:rPr>
      <w:color w:val="800080" w:themeColor="followedHyperlink"/>
      <w:u w:val="single"/>
    </w:rPr>
  </w:style>
  <w:style w:type="character" w:styleId="Textodelmarcadordeposicin">
    <w:name w:val="Placeholder Text"/>
    <w:basedOn w:val="Fuentedeprrafopredeter"/>
    <w:uiPriority w:val="99"/>
    <w:semiHidden/>
    <w:rsid w:val="004110E4"/>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65A"/>
  </w:style>
  <w:style w:type="paragraph" w:styleId="Ttulo1">
    <w:name w:val="heading 1"/>
    <w:basedOn w:val="Normal"/>
    <w:next w:val="Normal"/>
    <w:link w:val="Ttulo1Car"/>
    <w:uiPriority w:val="9"/>
    <w:qFormat/>
    <w:rsid w:val="0046565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65A"/>
    <w:rPr>
      <w:rFonts w:asciiTheme="majorHAnsi" w:eastAsiaTheme="majorEastAsia" w:hAnsiTheme="majorHAnsi" w:cstheme="majorBidi"/>
      <w:b/>
      <w:bCs/>
      <w:color w:val="365F91" w:themeColor="accent1" w:themeShade="BF"/>
      <w:sz w:val="28"/>
      <w:szCs w:val="28"/>
    </w:rPr>
  </w:style>
  <w:style w:type="character" w:styleId="Refdecomentario">
    <w:name w:val="annotation reference"/>
    <w:basedOn w:val="Fuentedeprrafopredeter"/>
    <w:uiPriority w:val="99"/>
    <w:semiHidden/>
    <w:unhideWhenUsed/>
    <w:rsid w:val="0046565A"/>
    <w:rPr>
      <w:sz w:val="16"/>
      <w:szCs w:val="16"/>
    </w:rPr>
  </w:style>
  <w:style w:type="paragraph" w:styleId="Textocomentario">
    <w:name w:val="annotation text"/>
    <w:basedOn w:val="Normal"/>
    <w:link w:val="TextocomentarioCar"/>
    <w:uiPriority w:val="99"/>
    <w:unhideWhenUsed/>
    <w:rsid w:val="0046565A"/>
    <w:rPr>
      <w:sz w:val="20"/>
      <w:szCs w:val="20"/>
    </w:rPr>
  </w:style>
  <w:style w:type="character" w:customStyle="1" w:styleId="TextocomentarioCar">
    <w:name w:val="Texto comentario Car"/>
    <w:basedOn w:val="Fuentedeprrafopredeter"/>
    <w:link w:val="Textocomentario"/>
    <w:uiPriority w:val="99"/>
    <w:rsid w:val="0046565A"/>
    <w:rPr>
      <w:sz w:val="20"/>
      <w:szCs w:val="20"/>
    </w:rPr>
  </w:style>
  <w:style w:type="paragraph" w:styleId="Textodeglobo">
    <w:name w:val="Balloon Text"/>
    <w:basedOn w:val="Normal"/>
    <w:link w:val="TextodegloboCar"/>
    <w:uiPriority w:val="99"/>
    <w:semiHidden/>
    <w:unhideWhenUsed/>
    <w:rsid w:val="0046565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6565A"/>
    <w:rPr>
      <w:rFonts w:ascii="Lucida Grande" w:hAnsi="Lucida Grande" w:cs="Lucida Grande"/>
      <w:sz w:val="18"/>
      <w:szCs w:val="18"/>
    </w:rPr>
  </w:style>
  <w:style w:type="paragraph" w:styleId="Prrafodelista">
    <w:name w:val="List Paragraph"/>
    <w:basedOn w:val="Normal"/>
    <w:uiPriority w:val="34"/>
    <w:qFormat/>
    <w:rsid w:val="0046565A"/>
    <w:pPr>
      <w:ind w:left="720"/>
      <w:contextualSpacing/>
    </w:pPr>
  </w:style>
  <w:style w:type="paragraph" w:styleId="NormalWeb">
    <w:name w:val="Normal (Web)"/>
    <w:basedOn w:val="Normal"/>
    <w:uiPriority w:val="99"/>
    <w:unhideWhenUsed/>
    <w:rsid w:val="0046565A"/>
    <w:pPr>
      <w:spacing w:before="100" w:beforeAutospacing="1" w:after="100" w:afterAutospacing="1"/>
    </w:pPr>
    <w:rPr>
      <w:rFonts w:ascii="Times" w:hAnsi="Times" w:cs="Times New Roman"/>
      <w:sz w:val="20"/>
      <w:szCs w:val="20"/>
    </w:rPr>
  </w:style>
  <w:style w:type="table" w:styleId="Sombreadoclaro-nfasis2">
    <w:name w:val="Light Shading Accent 2"/>
    <w:basedOn w:val="Tablanormal"/>
    <w:uiPriority w:val="60"/>
    <w:rsid w:val="0046565A"/>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Hipervnculo">
    <w:name w:val="Hyperlink"/>
    <w:basedOn w:val="Fuentedeprrafopredeter"/>
    <w:uiPriority w:val="99"/>
    <w:unhideWhenUsed/>
    <w:rsid w:val="0046565A"/>
    <w:rPr>
      <w:color w:val="0000FF" w:themeColor="hyperlink"/>
      <w:u w:val="single"/>
    </w:rPr>
  </w:style>
  <w:style w:type="paragraph" w:styleId="Bibliografa">
    <w:name w:val="Bibliography"/>
    <w:basedOn w:val="Normal"/>
    <w:next w:val="Normal"/>
    <w:uiPriority w:val="37"/>
    <w:unhideWhenUsed/>
    <w:rsid w:val="0046565A"/>
  </w:style>
  <w:style w:type="table" w:styleId="Sombreadomediano1-nfasis6">
    <w:name w:val="Medium Shading 1 Accent 6"/>
    <w:basedOn w:val="Tablanormal"/>
    <w:uiPriority w:val="63"/>
    <w:rsid w:val="0046565A"/>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uadrculamulticolor-nfasis1">
    <w:name w:val="Colorful Grid Accent 1"/>
    <w:basedOn w:val="Tablanormal"/>
    <w:uiPriority w:val="73"/>
    <w:rsid w:val="004656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ulticolor-nfasis2">
    <w:name w:val="Colorful Grid Accent 2"/>
    <w:basedOn w:val="Tablanormal"/>
    <w:uiPriority w:val="73"/>
    <w:rsid w:val="004656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ulticolor-nfasis3">
    <w:name w:val="Colorful Grid Accent 3"/>
    <w:basedOn w:val="Tablanormal"/>
    <w:uiPriority w:val="73"/>
    <w:rsid w:val="00BE6686"/>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ulticolor-nfasis5">
    <w:name w:val="Colorful Grid Accent 5"/>
    <w:basedOn w:val="Tablanormal"/>
    <w:uiPriority w:val="73"/>
    <w:rsid w:val="00BE6686"/>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ombreadoclaro-nfasis1">
    <w:name w:val="Light Shading Accent 1"/>
    <w:basedOn w:val="Tablanormal"/>
    <w:uiPriority w:val="60"/>
    <w:rsid w:val="004F20A2"/>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3">
    <w:name w:val="Light Shading Accent 3"/>
    <w:basedOn w:val="Tablanormal"/>
    <w:uiPriority w:val="60"/>
    <w:rsid w:val="00A312CF"/>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aconcuadrcula">
    <w:name w:val="Table Grid"/>
    <w:basedOn w:val="Tablanormal"/>
    <w:uiPriority w:val="59"/>
    <w:rsid w:val="00C179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8644F"/>
    <w:pPr>
      <w:tabs>
        <w:tab w:val="center" w:pos="4419"/>
        <w:tab w:val="right" w:pos="8838"/>
      </w:tabs>
    </w:pPr>
  </w:style>
  <w:style w:type="character" w:customStyle="1" w:styleId="EncabezadoCar">
    <w:name w:val="Encabezado Car"/>
    <w:basedOn w:val="Fuentedeprrafopredeter"/>
    <w:link w:val="Encabezado"/>
    <w:uiPriority w:val="99"/>
    <w:rsid w:val="0068644F"/>
  </w:style>
  <w:style w:type="paragraph" w:styleId="Piedepgina">
    <w:name w:val="footer"/>
    <w:basedOn w:val="Normal"/>
    <w:link w:val="PiedepginaCar"/>
    <w:uiPriority w:val="99"/>
    <w:unhideWhenUsed/>
    <w:rsid w:val="0068644F"/>
    <w:pPr>
      <w:tabs>
        <w:tab w:val="center" w:pos="4419"/>
        <w:tab w:val="right" w:pos="8838"/>
      </w:tabs>
    </w:pPr>
  </w:style>
  <w:style w:type="character" w:customStyle="1" w:styleId="PiedepginaCar">
    <w:name w:val="Pie de página Car"/>
    <w:basedOn w:val="Fuentedeprrafopredeter"/>
    <w:link w:val="Piedepgina"/>
    <w:uiPriority w:val="99"/>
    <w:rsid w:val="0068644F"/>
  </w:style>
  <w:style w:type="character" w:styleId="Nmerodepgina">
    <w:name w:val="page number"/>
    <w:basedOn w:val="Fuentedeprrafopredeter"/>
    <w:uiPriority w:val="99"/>
    <w:semiHidden/>
    <w:unhideWhenUsed/>
    <w:rsid w:val="00DD0C9A"/>
  </w:style>
  <w:style w:type="paragraph" w:styleId="Asuntodelcomentario">
    <w:name w:val="annotation subject"/>
    <w:basedOn w:val="Textocomentario"/>
    <w:next w:val="Textocomentario"/>
    <w:link w:val="AsuntodelcomentarioCar"/>
    <w:uiPriority w:val="99"/>
    <w:semiHidden/>
    <w:unhideWhenUsed/>
    <w:rsid w:val="001E6591"/>
    <w:rPr>
      <w:b/>
      <w:bCs/>
    </w:rPr>
  </w:style>
  <w:style w:type="character" w:customStyle="1" w:styleId="AsuntodelcomentarioCar">
    <w:name w:val="Asunto del comentario Car"/>
    <w:basedOn w:val="TextocomentarioCar"/>
    <w:link w:val="Asuntodelcomentario"/>
    <w:uiPriority w:val="99"/>
    <w:semiHidden/>
    <w:rsid w:val="001E6591"/>
    <w:rPr>
      <w:b/>
      <w:bCs/>
      <w:sz w:val="20"/>
      <w:szCs w:val="20"/>
    </w:rPr>
  </w:style>
  <w:style w:type="paragraph" w:styleId="Textonotapie">
    <w:name w:val="footnote text"/>
    <w:basedOn w:val="Normal"/>
    <w:link w:val="TextonotapieCar"/>
    <w:uiPriority w:val="99"/>
    <w:unhideWhenUsed/>
    <w:rsid w:val="006E5929"/>
  </w:style>
  <w:style w:type="character" w:customStyle="1" w:styleId="TextonotapieCar">
    <w:name w:val="Texto nota pie Car"/>
    <w:basedOn w:val="Fuentedeprrafopredeter"/>
    <w:link w:val="Textonotapie"/>
    <w:uiPriority w:val="99"/>
    <w:rsid w:val="006E5929"/>
  </w:style>
  <w:style w:type="character" w:styleId="Refdenotaalpie">
    <w:name w:val="footnote reference"/>
    <w:basedOn w:val="Fuentedeprrafopredeter"/>
    <w:uiPriority w:val="99"/>
    <w:unhideWhenUsed/>
    <w:rsid w:val="006E5929"/>
    <w:rPr>
      <w:vertAlign w:val="superscript"/>
    </w:rPr>
  </w:style>
  <w:style w:type="character" w:styleId="Hipervnculovisitado">
    <w:name w:val="FollowedHyperlink"/>
    <w:basedOn w:val="Fuentedeprrafopredeter"/>
    <w:uiPriority w:val="99"/>
    <w:semiHidden/>
    <w:unhideWhenUsed/>
    <w:rsid w:val="00E83EC6"/>
    <w:rPr>
      <w:color w:val="800080" w:themeColor="followedHyperlink"/>
      <w:u w:val="single"/>
    </w:rPr>
  </w:style>
  <w:style w:type="character" w:styleId="Textodelmarcadordeposicin">
    <w:name w:val="Placeholder Text"/>
    <w:basedOn w:val="Fuentedeprrafopredeter"/>
    <w:uiPriority w:val="99"/>
    <w:semiHidden/>
    <w:rsid w:val="004110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0402">
      <w:bodyDiv w:val="1"/>
      <w:marLeft w:val="0"/>
      <w:marRight w:val="0"/>
      <w:marTop w:val="0"/>
      <w:marBottom w:val="0"/>
      <w:divBdr>
        <w:top w:val="none" w:sz="0" w:space="0" w:color="auto"/>
        <w:left w:val="none" w:sz="0" w:space="0" w:color="auto"/>
        <w:bottom w:val="none" w:sz="0" w:space="0" w:color="auto"/>
        <w:right w:val="none" w:sz="0" w:space="0" w:color="auto"/>
      </w:divBdr>
    </w:div>
    <w:div w:id="74985311">
      <w:bodyDiv w:val="1"/>
      <w:marLeft w:val="0"/>
      <w:marRight w:val="0"/>
      <w:marTop w:val="0"/>
      <w:marBottom w:val="0"/>
      <w:divBdr>
        <w:top w:val="none" w:sz="0" w:space="0" w:color="auto"/>
        <w:left w:val="none" w:sz="0" w:space="0" w:color="auto"/>
        <w:bottom w:val="none" w:sz="0" w:space="0" w:color="auto"/>
        <w:right w:val="none" w:sz="0" w:space="0" w:color="auto"/>
      </w:divBdr>
    </w:div>
    <w:div w:id="77295726">
      <w:bodyDiv w:val="1"/>
      <w:marLeft w:val="0"/>
      <w:marRight w:val="0"/>
      <w:marTop w:val="0"/>
      <w:marBottom w:val="0"/>
      <w:divBdr>
        <w:top w:val="none" w:sz="0" w:space="0" w:color="auto"/>
        <w:left w:val="none" w:sz="0" w:space="0" w:color="auto"/>
        <w:bottom w:val="none" w:sz="0" w:space="0" w:color="auto"/>
        <w:right w:val="none" w:sz="0" w:space="0" w:color="auto"/>
      </w:divBdr>
    </w:div>
    <w:div w:id="88936971">
      <w:bodyDiv w:val="1"/>
      <w:marLeft w:val="0"/>
      <w:marRight w:val="0"/>
      <w:marTop w:val="0"/>
      <w:marBottom w:val="0"/>
      <w:divBdr>
        <w:top w:val="none" w:sz="0" w:space="0" w:color="auto"/>
        <w:left w:val="none" w:sz="0" w:space="0" w:color="auto"/>
        <w:bottom w:val="none" w:sz="0" w:space="0" w:color="auto"/>
        <w:right w:val="none" w:sz="0" w:space="0" w:color="auto"/>
      </w:divBdr>
    </w:div>
    <w:div w:id="149640009">
      <w:bodyDiv w:val="1"/>
      <w:marLeft w:val="0"/>
      <w:marRight w:val="0"/>
      <w:marTop w:val="0"/>
      <w:marBottom w:val="0"/>
      <w:divBdr>
        <w:top w:val="none" w:sz="0" w:space="0" w:color="auto"/>
        <w:left w:val="none" w:sz="0" w:space="0" w:color="auto"/>
        <w:bottom w:val="none" w:sz="0" w:space="0" w:color="auto"/>
        <w:right w:val="none" w:sz="0" w:space="0" w:color="auto"/>
      </w:divBdr>
    </w:div>
    <w:div w:id="182018254">
      <w:bodyDiv w:val="1"/>
      <w:marLeft w:val="0"/>
      <w:marRight w:val="0"/>
      <w:marTop w:val="0"/>
      <w:marBottom w:val="0"/>
      <w:divBdr>
        <w:top w:val="none" w:sz="0" w:space="0" w:color="auto"/>
        <w:left w:val="none" w:sz="0" w:space="0" w:color="auto"/>
        <w:bottom w:val="none" w:sz="0" w:space="0" w:color="auto"/>
        <w:right w:val="none" w:sz="0" w:space="0" w:color="auto"/>
      </w:divBdr>
    </w:div>
    <w:div w:id="201136334">
      <w:bodyDiv w:val="1"/>
      <w:marLeft w:val="0"/>
      <w:marRight w:val="0"/>
      <w:marTop w:val="0"/>
      <w:marBottom w:val="0"/>
      <w:divBdr>
        <w:top w:val="none" w:sz="0" w:space="0" w:color="auto"/>
        <w:left w:val="none" w:sz="0" w:space="0" w:color="auto"/>
        <w:bottom w:val="none" w:sz="0" w:space="0" w:color="auto"/>
        <w:right w:val="none" w:sz="0" w:space="0" w:color="auto"/>
      </w:divBdr>
    </w:div>
    <w:div w:id="227352211">
      <w:bodyDiv w:val="1"/>
      <w:marLeft w:val="0"/>
      <w:marRight w:val="0"/>
      <w:marTop w:val="0"/>
      <w:marBottom w:val="0"/>
      <w:divBdr>
        <w:top w:val="none" w:sz="0" w:space="0" w:color="auto"/>
        <w:left w:val="none" w:sz="0" w:space="0" w:color="auto"/>
        <w:bottom w:val="none" w:sz="0" w:space="0" w:color="auto"/>
        <w:right w:val="none" w:sz="0" w:space="0" w:color="auto"/>
      </w:divBdr>
    </w:div>
    <w:div w:id="232089749">
      <w:bodyDiv w:val="1"/>
      <w:marLeft w:val="0"/>
      <w:marRight w:val="0"/>
      <w:marTop w:val="0"/>
      <w:marBottom w:val="0"/>
      <w:divBdr>
        <w:top w:val="none" w:sz="0" w:space="0" w:color="auto"/>
        <w:left w:val="none" w:sz="0" w:space="0" w:color="auto"/>
        <w:bottom w:val="none" w:sz="0" w:space="0" w:color="auto"/>
        <w:right w:val="none" w:sz="0" w:space="0" w:color="auto"/>
      </w:divBdr>
    </w:div>
    <w:div w:id="255014737">
      <w:bodyDiv w:val="1"/>
      <w:marLeft w:val="0"/>
      <w:marRight w:val="0"/>
      <w:marTop w:val="0"/>
      <w:marBottom w:val="0"/>
      <w:divBdr>
        <w:top w:val="none" w:sz="0" w:space="0" w:color="auto"/>
        <w:left w:val="none" w:sz="0" w:space="0" w:color="auto"/>
        <w:bottom w:val="none" w:sz="0" w:space="0" w:color="auto"/>
        <w:right w:val="none" w:sz="0" w:space="0" w:color="auto"/>
      </w:divBdr>
    </w:div>
    <w:div w:id="258487425">
      <w:bodyDiv w:val="1"/>
      <w:marLeft w:val="0"/>
      <w:marRight w:val="0"/>
      <w:marTop w:val="0"/>
      <w:marBottom w:val="0"/>
      <w:divBdr>
        <w:top w:val="none" w:sz="0" w:space="0" w:color="auto"/>
        <w:left w:val="none" w:sz="0" w:space="0" w:color="auto"/>
        <w:bottom w:val="none" w:sz="0" w:space="0" w:color="auto"/>
        <w:right w:val="none" w:sz="0" w:space="0" w:color="auto"/>
      </w:divBdr>
    </w:div>
    <w:div w:id="335617839">
      <w:bodyDiv w:val="1"/>
      <w:marLeft w:val="0"/>
      <w:marRight w:val="0"/>
      <w:marTop w:val="0"/>
      <w:marBottom w:val="0"/>
      <w:divBdr>
        <w:top w:val="none" w:sz="0" w:space="0" w:color="auto"/>
        <w:left w:val="none" w:sz="0" w:space="0" w:color="auto"/>
        <w:bottom w:val="none" w:sz="0" w:space="0" w:color="auto"/>
        <w:right w:val="none" w:sz="0" w:space="0" w:color="auto"/>
      </w:divBdr>
    </w:div>
    <w:div w:id="352876404">
      <w:bodyDiv w:val="1"/>
      <w:marLeft w:val="0"/>
      <w:marRight w:val="0"/>
      <w:marTop w:val="0"/>
      <w:marBottom w:val="0"/>
      <w:divBdr>
        <w:top w:val="none" w:sz="0" w:space="0" w:color="auto"/>
        <w:left w:val="none" w:sz="0" w:space="0" w:color="auto"/>
        <w:bottom w:val="none" w:sz="0" w:space="0" w:color="auto"/>
        <w:right w:val="none" w:sz="0" w:space="0" w:color="auto"/>
      </w:divBdr>
    </w:div>
    <w:div w:id="371659131">
      <w:bodyDiv w:val="1"/>
      <w:marLeft w:val="0"/>
      <w:marRight w:val="0"/>
      <w:marTop w:val="0"/>
      <w:marBottom w:val="0"/>
      <w:divBdr>
        <w:top w:val="none" w:sz="0" w:space="0" w:color="auto"/>
        <w:left w:val="none" w:sz="0" w:space="0" w:color="auto"/>
        <w:bottom w:val="none" w:sz="0" w:space="0" w:color="auto"/>
        <w:right w:val="none" w:sz="0" w:space="0" w:color="auto"/>
      </w:divBdr>
    </w:div>
    <w:div w:id="394208994">
      <w:bodyDiv w:val="1"/>
      <w:marLeft w:val="0"/>
      <w:marRight w:val="0"/>
      <w:marTop w:val="0"/>
      <w:marBottom w:val="0"/>
      <w:divBdr>
        <w:top w:val="none" w:sz="0" w:space="0" w:color="auto"/>
        <w:left w:val="none" w:sz="0" w:space="0" w:color="auto"/>
        <w:bottom w:val="none" w:sz="0" w:space="0" w:color="auto"/>
        <w:right w:val="none" w:sz="0" w:space="0" w:color="auto"/>
      </w:divBdr>
    </w:div>
    <w:div w:id="456146939">
      <w:bodyDiv w:val="1"/>
      <w:marLeft w:val="0"/>
      <w:marRight w:val="0"/>
      <w:marTop w:val="0"/>
      <w:marBottom w:val="0"/>
      <w:divBdr>
        <w:top w:val="none" w:sz="0" w:space="0" w:color="auto"/>
        <w:left w:val="none" w:sz="0" w:space="0" w:color="auto"/>
        <w:bottom w:val="none" w:sz="0" w:space="0" w:color="auto"/>
        <w:right w:val="none" w:sz="0" w:space="0" w:color="auto"/>
      </w:divBdr>
    </w:div>
    <w:div w:id="540017733">
      <w:bodyDiv w:val="1"/>
      <w:marLeft w:val="0"/>
      <w:marRight w:val="0"/>
      <w:marTop w:val="0"/>
      <w:marBottom w:val="0"/>
      <w:divBdr>
        <w:top w:val="none" w:sz="0" w:space="0" w:color="auto"/>
        <w:left w:val="none" w:sz="0" w:space="0" w:color="auto"/>
        <w:bottom w:val="none" w:sz="0" w:space="0" w:color="auto"/>
        <w:right w:val="none" w:sz="0" w:space="0" w:color="auto"/>
      </w:divBdr>
      <w:divsChild>
        <w:div w:id="1622767428">
          <w:marLeft w:val="0"/>
          <w:marRight w:val="0"/>
          <w:marTop w:val="0"/>
          <w:marBottom w:val="0"/>
          <w:divBdr>
            <w:top w:val="none" w:sz="0" w:space="0" w:color="auto"/>
            <w:left w:val="none" w:sz="0" w:space="0" w:color="auto"/>
            <w:bottom w:val="none" w:sz="0" w:space="0" w:color="auto"/>
            <w:right w:val="none" w:sz="0" w:space="0" w:color="auto"/>
          </w:divBdr>
          <w:divsChild>
            <w:div w:id="160393923">
              <w:marLeft w:val="0"/>
              <w:marRight w:val="0"/>
              <w:marTop w:val="0"/>
              <w:marBottom w:val="0"/>
              <w:divBdr>
                <w:top w:val="none" w:sz="0" w:space="0" w:color="auto"/>
                <w:left w:val="none" w:sz="0" w:space="0" w:color="auto"/>
                <w:bottom w:val="none" w:sz="0" w:space="0" w:color="auto"/>
                <w:right w:val="none" w:sz="0" w:space="0" w:color="auto"/>
              </w:divBdr>
              <w:divsChild>
                <w:div w:id="10039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943284">
      <w:bodyDiv w:val="1"/>
      <w:marLeft w:val="0"/>
      <w:marRight w:val="0"/>
      <w:marTop w:val="0"/>
      <w:marBottom w:val="0"/>
      <w:divBdr>
        <w:top w:val="none" w:sz="0" w:space="0" w:color="auto"/>
        <w:left w:val="none" w:sz="0" w:space="0" w:color="auto"/>
        <w:bottom w:val="none" w:sz="0" w:space="0" w:color="auto"/>
        <w:right w:val="none" w:sz="0" w:space="0" w:color="auto"/>
      </w:divBdr>
    </w:div>
    <w:div w:id="559900310">
      <w:bodyDiv w:val="1"/>
      <w:marLeft w:val="0"/>
      <w:marRight w:val="0"/>
      <w:marTop w:val="0"/>
      <w:marBottom w:val="0"/>
      <w:divBdr>
        <w:top w:val="none" w:sz="0" w:space="0" w:color="auto"/>
        <w:left w:val="none" w:sz="0" w:space="0" w:color="auto"/>
        <w:bottom w:val="none" w:sz="0" w:space="0" w:color="auto"/>
        <w:right w:val="none" w:sz="0" w:space="0" w:color="auto"/>
      </w:divBdr>
    </w:div>
    <w:div w:id="670373289">
      <w:bodyDiv w:val="1"/>
      <w:marLeft w:val="0"/>
      <w:marRight w:val="0"/>
      <w:marTop w:val="0"/>
      <w:marBottom w:val="0"/>
      <w:divBdr>
        <w:top w:val="none" w:sz="0" w:space="0" w:color="auto"/>
        <w:left w:val="none" w:sz="0" w:space="0" w:color="auto"/>
        <w:bottom w:val="none" w:sz="0" w:space="0" w:color="auto"/>
        <w:right w:val="none" w:sz="0" w:space="0" w:color="auto"/>
      </w:divBdr>
    </w:div>
    <w:div w:id="697972381">
      <w:bodyDiv w:val="1"/>
      <w:marLeft w:val="0"/>
      <w:marRight w:val="0"/>
      <w:marTop w:val="0"/>
      <w:marBottom w:val="0"/>
      <w:divBdr>
        <w:top w:val="none" w:sz="0" w:space="0" w:color="auto"/>
        <w:left w:val="none" w:sz="0" w:space="0" w:color="auto"/>
        <w:bottom w:val="none" w:sz="0" w:space="0" w:color="auto"/>
        <w:right w:val="none" w:sz="0" w:space="0" w:color="auto"/>
      </w:divBdr>
    </w:div>
    <w:div w:id="722290415">
      <w:bodyDiv w:val="1"/>
      <w:marLeft w:val="0"/>
      <w:marRight w:val="0"/>
      <w:marTop w:val="0"/>
      <w:marBottom w:val="0"/>
      <w:divBdr>
        <w:top w:val="none" w:sz="0" w:space="0" w:color="auto"/>
        <w:left w:val="none" w:sz="0" w:space="0" w:color="auto"/>
        <w:bottom w:val="none" w:sz="0" w:space="0" w:color="auto"/>
        <w:right w:val="none" w:sz="0" w:space="0" w:color="auto"/>
      </w:divBdr>
    </w:div>
    <w:div w:id="741683741">
      <w:bodyDiv w:val="1"/>
      <w:marLeft w:val="0"/>
      <w:marRight w:val="0"/>
      <w:marTop w:val="0"/>
      <w:marBottom w:val="0"/>
      <w:divBdr>
        <w:top w:val="none" w:sz="0" w:space="0" w:color="auto"/>
        <w:left w:val="none" w:sz="0" w:space="0" w:color="auto"/>
        <w:bottom w:val="none" w:sz="0" w:space="0" w:color="auto"/>
        <w:right w:val="none" w:sz="0" w:space="0" w:color="auto"/>
      </w:divBdr>
    </w:div>
    <w:div w:id="746729033">
      <w:bodyDiv w:val="1"/>
      <w:marLeft w:val="0"/>
      <w:marRight w:val="0"/>
      <w:marTop w:val="0"/>
      <w:marBottom w:val="0"/>
      <w:divBdr>
        <w:top w:val="none" w:sz="0" w:space="0" w:color="auto"/>
        <w:left w:val="none" w:sz="0" w:space="0" w:color="auto"/>
        <w:bottom w:val="none" w:sz="0" w:space="0" w:color="auto"/>
        <w:right w:val="none" w:sz="0" w:space="0" w:color="auto"/>
      </w:divBdr>
    </w:div>
    <w:div w:id="801197184">
      <w:bodyDiv w:val="1"/>
      <w:marLeft w:val="0"/>
      <w:marRight w:val="0"/>
      <w:marTop w:val="0"/>
      <w:marBottom w:val="0"/>
      <w:divBdr>
        <w:top w:val="none" w:sz="0" w:space="0" w:color="auto"/>
        <w:left w:val="none" w:sz="0" w:space="0" w:color="auto"/>
        <w:bottom w:val="none" w:sz="0" w:space="0" w:color="auto"/>
        <w:right w:val="none" w:sz="0" w:space="0" w:color="auto"/>
      </w:divBdr>
    </w:div>
    <w:div w:id="852258317">
      <w:bodyDiv w:val="1"/>
      <w:marLeft w:val="0"/>
      <w:marRight w:val="0"/>
      <w:marTop w:val="0"/>
      <w:marBottom w:val="0"/>
      <w:divBdr>
        <w:top w:val="none" w:sz="0" w:space="0" w:color="auto"/>
        <w:left w:val="none" w:sz="0" w:space="0" w:color="auto"/>
        <w:bottom w:val="none" w:sz="0" w:space="0" w:color="auto"/>
        <w:right w:val="none" w:sz="0" w:space="0" w:color="auto"/>
      </w:divBdr>
    </w:div>
    <w:div w:id="879518577">
      <w:bodyDiv w:val="1"/>
      <w:marLeft w:val="0"/>
      <w:marRight w:val="0"/>
      <w:marTop w:val="0"/>
      <w:marBottom w:val="0"/>
      <w:divBdr>
        <w:top w:val="none" w:sz="0" w:space="0" w:color="auto"/>
        <w:left w:val="none" w:sz="0" w:space="0" w:color="auto"/>
        <w:bottom w:val="none" w:sz="0" w:space="0" w:color="auto"/>
        <w:right w:val="none" w:sz="0" w:space="0" w:color="auto"/>
      </w:divBdr>
    </w:div>
    <w:div w:id="949582691">
      <w:bodyDiv w:val="1"/>
      <w:marLeft w:val="0"/>
      <w:marRight w:val="0"/>
      <w:marTop w:val="0"/>
      <w:marBottom w:val="0"/>
      <w:divBdr>
        <w:top w:val="none" w:sz="0" w:space="0" w:color="auto"/>
        <w:left w:val="none" w:sz="0" w:space="0" w:color="auto"/>
        <w:bottom w:val="none" w:sz="0" w:space="0" w:color="auto"/>
        <w:right w:val="none" w:sz="0" w:space="0" w:color="auto"/>
      </w:divBdr>
    </w:div>
    <w:div w:id="991133033">
      <w:bodyDiv w:val="1"/>
      <w:marLeft w:val="0"/>
      <w:marRight w:val="0"/>
      <w:marTop w:val="0"/>
      <w:marBottom w:val="0"/>
      <w:divBdr>
        <w:top w:val="none" w:sz="0" w:space="0" w:color="auto"/>
        <w:left w:val="none" w:sz="0" w:space="0" w:color="auto"/>
        <w:bottom w:val="none" w:sz="0" w:space="0" w:color="auto"/>
        <w:right w:val="none" w:sz="0" w:space="0" w:color="auto"/>
      </w:divBdr>
    </w:div>
    <w:div w:id="991522184">
      <w:bodyDiv w:val="1"/>
      <w:marLeft w:val="0"/>
      <w:marRight w:val="0"/>
      <w:marTop w:val="0"/>
      <w:marBottom w:val="0"/>
      <w:divBdr>
        <w:top w:val="none" w:sz="0" w:space="0" w:color="auto"/>
        <w:left w:val="none" w:sz="0" w:space="0" w:color="auto"/>
        <w:bottom w:val="none" w:sz="0" w:space="0" w:color="auto"/>
        <w:right w:val="none" w:sz="0" w:space="0" w:color="auto"/>
      </w:divBdr>
    </w:div>
    <w:div w:id="1020355082">
      <w:bodyDiv w:val="1"/>
      <w:marLeft w:val="0"/>
      <w:marRight w:val="0"/>
      <w:marTop w:val="0"/>
      <w:marBottom w:val="0"/>
      <w:divBdr>
        <w:top w:val="none" w:sz="0" w:space="0" w:color="auto"/>
        <w:left w:val="none" w:sz="0" w:space="0" w:color="auto"/>
        <w:bottom w:val="none" w:sz="0" w:space="0" w:color="auto"/>
        <w:right w:val="none" w:sz="0" w:space="0" w:color="auto"/>
      </w:divBdr>
      <w:divsChild>
        <w:div w:id="655643388">
          <w:marLeft w:val="0"/>
          <w:marRight w:val="0"/>
          <w:marTop w:val="0"/>
          <w:marBottom w:val="0"/>
          <w:divBdr>
            <w:top w:val="none" w:sz="0" w:space="0" w:color="auto"/>
            <w:left w:val="none" w:sz="0" w:space="0" w:color="auto"/>
            <w:bottom w:val="none" w:sz="0" w:space="0" w:color="auto"/>
            <w:right w:val="none" w:sz="0" w:space="0" w:color="auto"/>
          </w:divBdr>
          <w:divsChild>
            <w:div w:id="1315571533">
              <w:marLeft w:val="0"/>
              <w:marRight w:val="0"/>
              <w:marTop w:val="0"/>
              <w:marBottom w:val="0"/>
              <w:divBdr>
                <w:top w:val="none" w:sz="0" w:space="0" w:color="auto"/>
                <w:left w:val="none" w:sz="0" w:space="0" w:color="auto"/>
                <w:bottom w:val="none" w:sz="0" w:space="0" w:color="auto"/>
                <w:right w:val="none" w:sz="0" w:space="0" w:color="auto"/>
              </w:divBdr>
              <w:divsChild>
                <w:div w:id="89531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245804">
      <w:bodyDiv w:val="1"/>
      <w:marLeft w:val="0"/>
      <w:marRight w:val="0"/>
      <w:marTop w:val="0"/>
      <w:marBottom w:val="0"/>
      <w:divBdr>
        <w:top w:val="none" w:sz="0" w:space="0" w:color="auto"/>
        <w:left w:val="none" w:sz="0" w:space="0" w:color="auto"/>
        <w:bottom w:val="none" w:sz="0" w:space="0" w:color="auto"/>
        <w:right w:val="none" w:sz="0" w:space="0" w:color="auto"/>
      </w:divBdr>
    </w:div>
    <w:div w:id="1222908652">
      <w:bodyDiv w:val="1"/>
      <w:marLeft w:val="0"/>
      <w:marRight w:val="0"/>
      <w:marTop w:val="0"/>
      <w:marBottom w:val="0"/>
      <w:divBdr>
        <w:top w:val="none" w:sz="0" w:space="0" w:color="auto"/>
        <w:left w:val="none" w:sz="0" w:space="0" w:color="auto"/>
        <w:bottom w:val="none" w:sz="0" w:space="0" w:color="auto"/>
        <w:right w:val="none" w:sz="0" w:space="0" w:color="auto"/>
      </w:divBdr>
    </w:div>
    <w:div w:id="1225531117">
      <w:bodyDiv w:val="1"/>
      <w:marLeft w:val="0"/>
      <w:marRight w:val="0"/>
      <w:marTop w:val="0"/>
      <w:marBottom w:val="0"/>
      <w:divBdr>
        <w:top w:val="none" w:sz="0" w:space="0" w:color="auto"/>
        <w:left w:val="none" w:sz="0" w:space="0" w:color="auto"/>
        <w:bottom w:val="none" w:sz="0" w:space="0" w:color="auto"/>
        <w:right w:val="none" w:sz="0" w:space="0" w:color="auto"/>
      </w:divBdr>
    </w:div>
    <w:div w:id="1233857069">
      <w:bodyDiv w:val="1"/>
      <w:marLeft w:val="0"/>
      <w:marRight w:val="0"/>
      <w:marTop w:val="0"/>
      <w:marBottom w:val="0"/>
      <w:divBdr>
        <w:top w:val="none" w:sz="0" w:space="0" w:color="auto"/>
        <w:left w:val="none" w:sz="0" w:space="0" w:color="auto"/>
        <w:bottom w:val="none" w:sz="0" w:space="0" w:color="auto"/>
        <w:right w:val="none" w:sz="0" w:space="0" w:color="auto"/>
      </w:divBdr>
    </w:div>
    <w:div w:id="1273055620">
      <w:bodyDiv w:val="1"/>
      <w:marLeft w:val="0"/>
      <w:marRight w:val="0"/>
      <w:marTop w:val="0"/>
      <w:marBottom w:val="0"/>
      <w:divBdr>
        <w:top w:val="none" w:sz="0" w:space="0" w:color="auto"/>
        <w:left w:val="none" w:sz="0" w:space="0" w:color="auto"/>
        <w:bottom w:val="none" w:sz="0" w:space="0" w:color="auto"/>
        <w:right w:val="none" w:sz="0" w:space="0" w:color="auto"/>
      </w:divBdr>
    </w:div>
    <w:div w:id="1312171838">
      <w:bodyDiv w:val="1"/>
      <w:marLeft w:val="0"/>
      <w:marRight w:val="0"/>
      <w:marTop w:val="0"/>
      <w:marBottom w:val="0"/>
      <w:divBdr>
        <w:top w:val="none" w:sz="0" w:space="0" w:color="auto"/>
        <w:left w:val="none" w:sz="0" w:space="0" w:color="auto"/>
        <w:bottom w:val="none" w:sz="0" w:space="0" w:color="auto"/>
        <w:right w:val="none" w:sz="0" w:space="0" w:color="auto"/>
      </w:divBdr>
    </w:div>
    <w:div w:id="1324747381">
      <w:bodyDiv w:val="1"/>
      <w:marLeft w:val="0"/>
      <w:marRight w:val="0"/>
      <w:marTop w:val="0"/>
      <w:marBottom w:val="0"/>
      <w:divBdr>
        <w:top w:val="none" w:sz="0" w:space="0" w:color="auto"/>
        <w:left w:val="none" w:sz="0" w:space="0" w:color="auto"/>
        <w:bottom w:val="none" w:sz="0" w:space="0" w:color="auto"/>
        <w:right w:val="none" w:sz="0" w:space="0" w:color="auto"/>
      </w:divBdr>
      <w:divsChild>
        <w:div w:id="1435437716">
          <w:marLeft w:val="0"/>
          <w:marRight w:val="0"/>
          <w:marTop w:val="0"/>
          <w:marBottom w:val="0"/>
          <w:divBdr>
            <w:top w:val="none" w:sz="0" w:space="0" w:color="auto"/>
            <w:left w:val="none" w:sz="0" w:space="0" w:color="auto"/>
            <w:bottom w:val="none" w:sz="0" w:space="0" w:color="auto"/>
            <w:right w:val="none" w:sz="0" w:space="0" w:color="auto"/>
          </w:divBdr>
          <w:divsChild>
            <w:div w:id="314798487">
              <w:marLeft w:val="0"/>
              <w:marRight w:val="0"/>
              <w:marTop w:val="0"/>
              <w:marBottom w:val="0"/>
              <w:divBdr>
                <w:top w:val="none" w:sz="0" w:space="0" w:color="auto"/>
                <w:left w:val="none" w:sz="0" w:space="0" w:color="auto"/>
                <w:bottom w:val="none" w:sz="0" w:space="0" w:color="auto"/>
                <w:right w:val="none" w:sz="0" w:space="0" w:color="auto"/>
              </w:divBdr>
              <w:divsChild>
                <w:div w:id="32794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780330">
      <w:bodyDiv w:val="1"/>
      <w:marLeft w:val="0"/>
      <w:marRight w:val="0"/>
      <w:marTop w:val="0"/>
      <w:marBottom w:val="0"/>
      <w:divBdr>
        <w:top w:val="none" w:sz="0" w:space="0" w:color="auto"/>
        <w:left w:val="none" w:sz="0" w:space="0" w:color="auto"/>
        <w:bottom w:val="none" w:sz="0" w:space="0" w:color="auto"/>
        <w:right w:val="none" w:sz="0" w:space="0" w:color="auto"/>
      </w:divBdr>
    </w:div>
    <w:div w:id="1396706185">
      <w:bodyDiv w:val="1"/>
      <w:marLeft w:val="0"/>
      <w:marRight w:val="0"/>
      <w:marTop w:val="0"/>
      <w:marBottom w:val="0"/>
      <w:divBdr>
        <w:top w:val="none" w:sz="0" w:space="0" w:color="auto"/>
        <w:left w:val="none" w:sz="0" w:space="0" w:color="auto"/>
        <w:bottom w:val="none" w:sz="0" w:space="0" w:color="auto"/>
        <w:right w:val="none" w:sz="0" w:space="0" w:color="auto"/>
      </w:divBdr>
    </w:div>
    <w:div w:id="1430352595">
      <w:bodyDiv w:val="1"/>
      <w:marLeft w:val="0"/>
      <w:marRight w:val="0"/>
      <w:marTop w:val="0"/>
      <w:marBottom w:val="0"/>
      <w:divBdr>
        <w:top w:val="none" w:sz="0" w:space="0" w:color="auto"/>
        <w:left w:val="none" w:sz="0" w:space="0" w:color="auto"/>
        <w:bottom w:val="none" w:sz="0" w:space="0" w:color="auto"/>
        <w:right w:val="none" w:sz="0" w:space="0" w:color="auto"/>
      </w:divBdr>
    </w:div>
    <w:div w:id="1436052269">
      <w:bodyDiv w:val="1"/>
      <w:marLeft w:val="0"/>
      <w:marRight w:val="0"/>
      <w:marTop w:val="0"/>
      <w:marBottom w:val="0"/>
      <w:divBdr>
        <w:top w:val="none" w:sz="0" w:space="0" w:color="auto"/>
        <w:left w:val="none" w:sz="0" w:space="0" w:color="auto"/>
        <w:bottom w:val="none" w:sz="0" w:space="0" w:color="auto"/>
        <w:right w:val="none" w:sz="0" w:space="0" w:color="auto"/>
      </w:divBdr>
    </w:div>
    <w:div w:id="1453742797">
      <w:bodyDiv w:val="1"/>
      <w:marLeft w:val="0"/>
      <w:marRight w:val="0"/>
      <w:marTop w:val="0"/>
      <w:marBottom w:val="0"/>
      <w:divBdr>
        <w:top w:val="none" w:sz="0" w:space="0" w:color="auto"/>
        <w:left w:val="none" w:sz="0" w:space="0" w:color="auto"/>
        <w:bottom w:val="none" w:sz="0" w:space="0" w:color="auto"/>
        <w:right w:val="none" w:sz="0" w:space="0" w:color="auto"/>
      </w:divBdr>
    </w:div>
    <w:div w:id="1459490863">
      <w:bodyDiv w:val="1"/>
      <w:marLeft w:val="0"/>
      <w:marRight w:val="0"/>
      <w:marTop w:val="0"/>
      <w:marBottom w:val="0"/>
      <w:divBdr>
        <w:top w:val="none" w:sz="0" w:space="0" w:color="auto"/>
        <w:left w:val="none" w:sz="0" w:space="0" w:color="auto"/>
        <w:bottom w:val="none" w:sz="0" w:space="0" w:color="auto"/>
        <w:right w:val="none" w:sz="0" w:space="0" w:color="auto"/>
      </w:divBdr>
    </w:div>
    <w:div w:id="1464999567">
      <w:bodyDiv w:val="1"/>
      <w:marLeft w:val="0"/>
      <w:marRight w:val="0"/>
      <w:marTop w:val="0"/>
      <w:marBottom w:val="0"/>
      <w:divBdr>
        <w:top w:val="none" w:sz="0" w:space="0" w:color="auto"/>
        <w:left w:val="none" w:sz="0" w:space="0" w:color="auto"/>
        <w:bottom w:val="none" w:sz="0" w:space="0" w:color="auto"/>
        <w:right w:val="none" w:sz="0" w:space="0" w:color="auto"/>
      </w:divBdr>
    </w:div>
    <w:div w:id="1522011853">
      <w:bodyDiv w:val="1"/>
      <w:marLeft w:val="0"/>
      <w:marRight w:val="0"/>
      <w:marTop w:val="0"/>
      <w:marBottom w:val="0"/>
      <w:divBdr>
        <w:top w:val="none" w:sz="0" w:space="0" w:color="auto"/>
        <w:left w:val="none" w:sz="0" w:space="0" w:color="auto"/>
        <w:bottom w:val="none" w:sz="0" w:space="0" w:color="auto"/>
        <w:right w:val="none" w:sz="0" w:space="0" w:color="auto"/>
      </w:divBdr>
    </w:div>
    <w:div w:id="1525823535">
      <w:bodyDiv w:val="1"/>
      <w:marLeft w:val="0"/>
      <w:marRight w:val="0"/>
      <w:marTop w:val="0"/>
      <w:marBottom w:val="0"/>
      <w:divBdr>
        <w:top w:val="none" w:sz="0" w:space="0" w:color="auto"/>
        <w:left w:val="none" w:sz="0" w:space="0" w:color="auto"/>
        <w:bottom w:val="none" w:sz="0" w:space="0" w:color="auto"/>
        <w:right w:val="none" w:sz="0" w:space="0" w:color="auto"/>
      </w:divBdr>
    </w:div>
    <w:div w:id="1544752653">
      <w:bodyDiv w:val="1"/>
      <w:marLeft w:val="0"/>
      <w:marRight w:val="0"/>
      <w:marTop w:val="0"/>
      <w:marBottom w:val="0"/>
      <w:divBdr>
        <w:top w:val="none" w:sz="0" w:space="0" w:color="auto"/>
        <w:left w:val="none" w:sz="0" w:space="0" w:color="auto"/>
        <w:bottom w:val="none" w:sz="0" w:space="0" w:color="auto"/>
        <w:right w:val="none" w:sz="0" w:space="0" w:color="auto"/>
      </w:divBdr>
    </w:div>
    <w:div w:id="1623924492">
      <w:bodyDiv w:val="1"/>
      <w:marLeft w:val="0"/>
      <w:marRight w:val="0"/>
      <w:marTop w:val="0"/>
      <w:marBottom w:val="0"/>
      <w:divBdr>
        <w:top w:val="none" w:sz="0" w:space="0" w:color="auto"/>
        <w:left w:val="none" w:sz="0" w:space="0" w:color="auto"/>
        <w:bottom w:val="none" w:sz="0" w:space="0" w:color="auto"/>
        <w:right w:val="none" w:sz="0" w:space="0" w:color="auto"/>
      </w:divBdr>
    </w:div>
    <w:div w:id="1627152634">
      <w:bodyDiv w:val="1"/>
      <w:marLeft w:val="0"/>
      <w:marRight w:val="0"/>
      <w:marTop w:val="0"/>
      <w:marBottom w:val="0"/>
      <w:divBdr>
        <w:top w:val="none" w:sz="0" w:space="0" w:color="auto"/>
        <w:left w:val="none" w:sz="0" w:space="0" w:color="auto"/>
        <w:bottom w:val="none" w:sz="0" w:space="0" w:color="auto"/>
        <w:right w:val="none" w:sz="0" w:space="0" w:color="auto"/>
      </w:divBdr>
    </w:div>
    <w:div w:id="1676423829">
      <w:bodyDiv w:val="1"/>
      <w:marLeft w:val="0"/>
      <w:marRight w:val="0"/>
      <w:marTop w:val="0"/>
      <w:marBottom w:val="0"/>
      <w:divBdr>
        <w:top w:val="none" w:sz="0" w:space="0" w:color="auto"/>
        <w:left w:val="none" w:sz="0" w:space="0" w:color="auto"/>
        <w:bottom w:val="none" w:sz="0" w:space="0" w:color="auto"/>
        <w:right w:val="none" w:sz="0" w:space="0" w:color="auto"/>
      </w:divBdr>
    </w:div>
    <w:div w:id="1693605134">
      <w:bodyDiv w:val="1"/>
      <w:marLeft w:val="0"/>
      <w:marRight w:val="0"/>
      <w:marTop w:val="0"/>
      <w:marBottom w:val="0"/>
      <w:divBdr>
        <w:top w:val="none" w:sz="0" w:space="0" w:color="auto"/>
        <w:left w:val="none" w:sz="0" w:space="0" w:color="auto"/>
        <w:bottom w:val="none" w:sz="0" w:space="0" w:color="auto"/>
        <w:right w:val="none" w:sz="0" w:space="0" w:color="auto"/>
      </w:divBdr>
      <w:divsChild>
        <w:div w:id="1823346008">
          <w:marLeft w:val="0"/>
          <w:marRight w:val="0"/>
          <w:marTop w:val="0"/>
          <w:marBottom w:val="0"/>
          <w:divBdr>
            <w:top w:val="none" w:sz="0" w:space="0" w:color="auto"/>
            <w:left w:val="none" w:sz="0" w:space="0" w:color="auto"/>
            <w:bottom w:val="none" w:sz="0" w:space="0" w:color="auto"/>
            <w:right w:val="none" w:sz="0" w:space="0" w:color="auto"/>
          </w:divBdr>
          <w:divsChild>
            <w:div w:id="248081071">
              <w:marLeft w:val="0"/>
              <w:marRight w:val="0"/>
              <w:marTop w:val="0"/>
              <w:marBottom w:val="0"/>
              <w:divBdr>
                <w:top w:val="none" w:sz="0" w:space="0" w:color="auto"/>
                <w:left w:val="none" w:sz="0" w:space="0" w:color="auto"/>
                <w:bottom w:val="none" w:sz="0" w:space="0" w:color="auto"/>
                <w:right w:val="none" w:sz="0" w:space="0" w:color="auto"/>
              </w:divBdr>
              <w:divsChild>
                <w:div w:id="9560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15947">
      <w:bodyDiv w:val="1"/>
      <w:marLeft w:val="0"/>
      <w:marRight w:val="0"/>
      <w:marTop w:val="0"/>
      <w:marBottom w:val="0"/>
      <w:divBdr>
        <w:top w:val="none" w:sz="0" w:space="0" w:color="auto"/>
        <w:left w:val="none" w:sz="0" w:space="0" w:color="auto"/>
        <w:bottom w:val="none" w:sz="0" w:space="0" w:color="auto"/>
        <w:right w:val="none" w:sz="0" w:space="0" w:color="auto"/>
      </w:divBdr>
    </w:div>
    <w:div w:id="1750149253">
      <w:bodyDiv w:val="1"/>
      <w:marLeft w:val="0"/>
      <w:marRight w:val="0"/>
      <w:marTop w:val="0"/>
      <w:marBottom w:val="0"/>
      <w:divBdr>
        <w:top w:val="none" w:sz="0" w:space="0" w:color="auto"/>
        <w:left w:val="none" w:sz="0" w:space="0" w:color="auto"/>
        <w:bottom w:val="none" w:sz="0" w:space="0" w:color="auto"/>
        <w:right w:val="none" w:sz="0" w:space="0" w:color="auto"/>
      </w:divBdr>
    </w:div>
    <w:div w:id="1780641820">
      <w:bodyDiv w:val="1"/>
      <w:marLeft w:val="0"/>
      <w:marRight w:val="0"/>
      <w:marTop w:val="0"/>
      <w:marBottom w:val="0"/>
      <w:divBdr>
        <w:top w:val="none" w:sz="0" w:space="0" w:color="auto"/>
        <w:left w:val="none" w:sz="0" w:space="0" w:color="auto"/>
        <w:bottom w:val="none" w:sz="0" w:space="0" w:color="auto"/>
        <w:right w:val="none" w:sz="0" w:space="0" w:color="auto"/>
      </w:divBdr>
    </w:div>
    <w:div w:id="1800026408">
      <w:bodyDiv w:val="1"/>
      <w:marLeft w:val="0"/>
      <w:marRight w:val="0"/>
      <w:marTop w:val="0"/>
      <w:marBottom w:val="0"/>
      <w:divBdr>
        <w:top w:val="none" w:sz="0" w:space="0" w:color="auto"/>
        <w:left w:val="none" w:sz="0" w:space="0" w:color="auto"/>
        <w:bottom w:val="none" w:sz="0" w:space="0" w:color="auto"/>
        <w:right w:val="none" w:sz="0" w:space="0" w:color="auto"/>
      </w:divBdr>
    </w:div>
    <w:div w:id="1901017799">
      <w:bodyDiv w:val="1"/>
      <w:marLeft w:val="0"/>
      <w:marRight w:val="0"/>
      <w:marTop w:val="0"/>
      <w:marBottom w:val="0"/>
      <w:divBdr>
        <w:top w:val="none" w:sz="0" w:space="0" w:color="auto"/>
        <w:left w:val="none" w:sz="0" w:space="0" w:color="auto"/>
        <w:bottom w:val="none" w:sz="0" w:space="0" w:color="auto"/>
        <w:right w:val="none" w:sz="0" w:space="0" w:color="auto"/>
      </w:divBdr>
    </w:div>
    <w:div w:id="1901086832">
      <w:bodyDiv w:val="1"/>
      <w:marLeft w:val="0"/>
      <w:marRight w:val="0"/>
      <w:marTop w:val="0"/>
      <w:marBottom w:val="0"/>
      <w:divBdr>
        <w:top w:val="none" w:sz="0" w:space="0" w:color="auto"/>
        <w:left w:val="none" w:sz="0" w:space="0" w:color="auto"/>
        <w:bottom w:val="none" w:sz="0" w:space="0" w:color="auto"/>
        <w:right w:val="none" w:sz="0" w:space="0" w:color="auto"/>
      </w:divBdr>
    </w:div>
    <w:div w:id="1904829125">
      <w:bodyDiv w:val="1"/>
      <w:marLeft w:val="0"/>
      <w:marRight w:val="0"/>
      <w:marTop w:val="0"/>
      <w:marBottom w:val="0"/>
      <w:divBdr>
        <w:top w:val="none" w:sz="0" w:space="0" w:color="auto"/>
        <w:left w:val="none" w:sz="0" w:space="0" w:color="auto"/>
        <w:bottom w:val="none" w:sz="0" w:space="0" w:color="auto"/>
        <w:right w:val="none" w:sz="0" w:space="0" w:color="auto"/>
      </w:divBdr>
    </w:div>
    <w:div w:id="1914850718">
      <w:bodyDiv w:val="1"/>
      <w:marLeft w:val="0"/>
      <w:marRight w:val="0"/>
      <w:marTop w:val="0"/>
      <w:marBottom w:val="0"/>
      <w:divBdr>
        <w:top w:val="none" w:sz="0" w:space="0" w:color="auto"/>
        <w:left w:val="none" w:sz="0" w:space="0" w:color="auto"/>
        <w:bottom w:val="none" w:sz="0" w:space="0" w:color="auto"/>
        <w:right w:val="none" w:sz="0" w:space="0" w:color="auto"/>
      </w:divBdr>
    </w:div>
    <w:div w:id="1930308439">
      <w:bodyDiv w:val="1"/>
      <w:marLeft w:val="0"/>
      <w:marRight w:val="0"/>
      <w:marTop w:val="0"/>
      <w:marBottom w:val="0"/>
      <w:divBdr>
        <w:top w:val="none" w:sz="0" w:space="0" w:color="auto"/>
        <w:left w:val="none" w:sz="0" w:space="0" w:color="auto"/>
        <w:bottom w:val="none" w:sz="0" w:space="0" w:color="auto"/>
        <w:right w:val="none" w:sz="0" w:space="0" w:color="auto"/>
      </w:divBdr>
      <w:divsChild>
        <w:div w:id="1357731635">
          <w:marLeft w:val="0"/>
          <w:marRight w:val="0"/>
          <w:marTop w:val="0"/>
          <w:marBottom w:val="0"/>
          <w:divBdr>
            <w:top w:val="none" w:sz="0" w:space="0" w:color="auto"/>
            <w:left w:val="none" w:sz="0" w:space="0" w:color="auto"/>
            <w:bottom w:val="none" w:sz="0" w:space="0" w:color="auto"/>
            <w:right w:val="none" w:sz="0" w:space="0" w:color="auto"/>
          </w:divBdr>
          <w:divsChild>
            <w:div w:id="475805745">
              <w:marLeft w:val="0"/>
              <w:marRight w:val="0"/>
              <w:marTop w:val="0"/>
              <w:marBottom w:val="0"/>
              <w:divBdr>
                <w:top w:val="none" w:sz="0" w:space="0" w:color="auto"/>
                <w:left w:val="none" w:sz="0" w:space="0" w:color="auto"/>
                <w:bottom w:val="none" w:sz="0" w:space="0" w:color="auto"/>
                <w:right w:val="none" w:sz="0" w:space="0" w:color="auto"/>
              </w:divBdr>
              <w:divsChild>
                <w:div w:id="114439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75587">
      <w:bodyDiv w:val="1"/>
      <w:marLeft w:val="0"/>
      <w:marRight w:val="0"/>
      <w:marTop w:val="0"/>
      <w:marBottom w:val="0"/>
      <w:divBdr>
        <w:top w:val="none" w:sz="0" w:space="0" w:color="auto"/>
        <w:left w:val="none" w:sz="0" w:space="0" w:color="auto"/>
        <w:bottom w:val="none" w:sz="0" w:space="0" w:color="auto"/>
        <w:right w:val="none" w:sz="0" w:space="0" w:color="auto"/>
      </w:divBdr>
    </w:div>
    <w:div w:id="2011979260">
      <w:bodyDiv w:val="1"/>
      <w:marLeft w:val="0"/>
      <w:marRight w:val="0"/>
      <w:marTop w:val="0"/>
      <w:marBottom w:val="0"/>
      <w:divBdr>
        <w:top w:val="none" w:sz="0" w:space="0" w:color="auto"/>
        <w:left w:val="none" w:sz="0" w:space="0" w:color="auto"/>
        <w:bottom w:val="none" w:sz="0" w:space="0" w:color="auto"/>
        <w:right w:val="none" w:sz="0" w:space="0" w:color="auto"/>
      </w:divBdr>
    </w:div>
    <w:div w:id="2051613194">
      <w:bodyDiv w:val="1"/>
      <w:marLeft w:val="0"/>
      <w:marRight w:val="0"/>
      <w:marTop w:val="0"/>
      <w:marBottom w:val="0"/>
      <w:divBdr>
        <w:top w:val="none" w:sz="0" w:space="0" w:color="auto"/>
        <w:left w:val="none" w:sz="0" w:space="0" w:color="auto"/>
        <w:bottom w:val="none" w:sz="0" w:space="0" w:color="auto"/>
        <w:right w:val="none" w:sz="0" w:space="0" w:color="auto"/>
      </w:divBdr>
    </w:div>
    <w:div w:id="20652486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who.int/vmnis/indicators/haemoglobin_es.pdf" TargetMode="External"/><Relationship Id="rId20" Type="http://schemas.openxmlformats.org/officeDocument/2006/relationships/hyperlink" Target="http://www.who.int/vmnis/indicators/haemoglobin_es.pdf" TargetMode="External"/><Relationship Id="rId21" Type="http://schemas.openxmlformats.org/officeDocument/2006/relationships/hyperlink" Target="http://www.oecd.org/edu/Mexico-EAG2014-Country-Note-spanish.pdf" TargetMode="External"/><Relationship Id="rId22" Type="http://schemas.openxmlformats.org/officeDocument/2006/relationships/hyperlink" Target="http://www.inegi.org.mx/sistemas/consulta_resultados/ageb_urb2010.aspx?c=28111" TargetMode="External"/><Relationship Id="rId23" Type="http://schemas.openxmlformats.org/officeDocument/2006/relationships/hyperlink" Target="http://ensanut.insp.mx/doctos/seminario/T0101.pdf" TargetMode="External"/><Relationship Id="rId24" Type="http://schemas.openxmlformats.org/officeDocument/2006/relationships/hyperlink" Target="http://www.ugr.es/~romansg/material/WebEco/Eco2-Discreta.pdf" TargetMode="External"/><Relationship Id="rId25" Type="http://schemas.openxmlformats.org/officeDocument/2006/relationships/footer" Target="footer1.xml"/><Relationship Id="rId26" Type="http://schemas.openxmlformats.org/officeDocument/2006/relationships/footer" Target="footer2.xml"/><Relationship Id="rId27" Type="http://schemas.openxmlformats.org/officeDocument/2006/relationships/fontTable" Target="fontTable.xml"/><Relationship Id="rId28" Type="http://schemas.openxmlformats.org/officeDocument/2006/relationships/theme" Target="theme/theme1.xml"/><Relationship Id="rId61" Type="http://schemas.microsoft.com/office/2011/relationships/commentsExtended" Target="commentsExtended.xml"/><Relationship Id="rId62" Type="http://schemas.microsoft.com/office/2011/relationships/people" Target="people.xml"/><Relationship Id="rId10" Type="http://schemas.openxmlformats.org/officeDocument/2006/relationships/chart" Target="charts/chart1.xml"/><Relationship Id="rId11" Type="http://schemas.openxmlformats.org/officeDocument/2006/relationships/chart" Target="charts/chart2.xml"/><Relationship Id="rId12" Type="http://schemas.openxmlformats.org/officeDocument/2006/relationships/chart" Target="charts/chart3.xml"/><Relationship Id="rId13" Type="http://schemas.openxmlformats.org/officeDocument/2006/relationships/hyperlink" Target="http://www.oecd.org/edu/Mexico-EAG2014-Country-Note-spanish.pdf" TargetMode="External"/><Relationship Id="rId14" Type="http://schemas.openxmlformats.org/officeDocument/2006/relationships/chart" Target="charts/chart4.xml"/><Relationship Id="rId15" Type="http://schemas.openxmlformats.org/officeDocument/2006/relationships/chart" Target="charts/chart5.xml"/><Relationship Id="rId16" Type="http://schemas.openxmlformats.org/officeDocument/2006/relationships/chart" Target="charts/chart6.xml"/><Relationship Id="rId17" Type="http://schemas.openxmlformats.org/officeDocument/2006/relationships/hyperlink" Target="http://www.who.int/vmins/indicators/hemoglobin.pdf" TargetMode="External"/><Relationship Id="rId18" Type="http://schemas.openxmlformats.org/officeDocument/2006/relationships/hyperlink" Target="http://apps.who.int/iris/bitstream/10665/43894/1/9789241596657_eng.pdf" TargetMode="External"/><Relationship Id="rId19" Type="http://schemas.openxmlformats.org/officeDocument/2006/relationships/hyperlink" Target="https://www.nhlbi.nih.gov/files/docs/public/blood/anemia-inbrief_yg_sp.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Sin%20ti&#769;tulo:Users:macair:Desktop:grafic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Sin%20t&#237;tulo:Users:macair:Desktop:Enviar%20:Escolares.inf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Libro1" TargetMode="External"/><Relationship Id="rId2"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800" b="1" i="0" u="none" strike="noStrike" kern="1200" baseline="0">
                <a:solidFill>
                  <a:sysClr val="windowText" lastClr="000000"/>
                </a:solidFill>
                <a:latin typeface="+mn-lt"/>
                <a:ea typeface="+mn-ea"/>
                <a:cs typeface="+mn-cs"/>
              </a:defRPr>
            </a:pPr>
            <a:r>
              <a:rPr lang="es-ES_tradnl" sz="800">
                <a:effectLst/>
              </a:rPr>
              <a:t>Prevalencia de anemia en niños de 1 a 11 años de edad en México, por áreas urbana y rural, 2006. </a:t>
            </a:r>
            <a:endParaRPr lang="es-ES_tradnl" sz="800"/>
          </a:p>
          <a:p>
            <a:pPr marL="0" marR="0" indent="0" algn="ctr" defTabSz="914400" rtl="0" eaLnBrk="1" fontAlgn="auto" latinLnBrk="0" hangingPunct="1">
              <a:lnSpc>
                <a:spcPct val="100000"/>
              </a:lnSpc>
              <a:spcBef>
                <a:spcPts val="0"/>
              </a:spcBef>
              <a:spcAft>
                <a:spcPts val="0"/>
              </a:spcAft>
              <a:buClrTx/>
              <a:buSzTx/>
              <a:buFontTx/>
              <a:buNone/>
              <a:tabLst/>
              <a:defRPr sz="800" b="1" i="0" u="none" strike="noStrike" kern="1200" baseline="0">
                <a:solidFill>
                  <a:sysClr val="windowText" lastClr="000000"/>
                </a:solidFill>
                <a:latin typeface="+mn-lt"/>
                <a:ea typeface="+mn-ea"/>
                <a:cs typeface="+mn-cs"/>
              </a:defRPr>
            </a:pPr>
            <a:endParaRPr lang="es-ES" sz="800"/>
          </a:p>
        </c:rich>
      </c:tx>
      <c:layout>
        <c:manualLayout>
          <c:xMode val="edge"/>
          <c:yMode val="edge"/>
          <c:x val="0.0930414948131483"/>
          <c:y val="0.0385005281011272"/>
        </c:manualLayout>
      </c:layout>
      <c:overlay val="0"/>
    </c:title>
    <c:autoTitleDeleted val="0"/>
    <c:plotArea>
      <c:layout>
        <c:manualLayout>
          <c:layoutTarget val="inner"/>
          <c:xMode val="edge"/>
          <c:yMode val="edge"/>
          <c:x val="0.122269713332496"/>
          <c:y val="0.26707967647565"/>
          <c:w val="0.875761395153426"/>
          <c:h val="0.536282396811911"/>
        </c:manualLayout>
      </c:layout>
      <c:barChart>
        <c:barDir val="col"/>
        <c:grouping val="clustered"/>
        <c:varyColors val="0"/>
        <c:ser>
          <c:idx val="0"/>
          <c:order val="0"/>
          <c:invertIfNegative val="0"/>
          <c:dLbls>
            <c:spPr>
              <a:noFill/>
              <a:ln>
                <a:noFill/>
              </a:ln>
              <a:effectLst/>
            </c:spPr>
            <c:txPr>
              <a:bodyPr/>
              <a:lstStyle/>
              <a:p>
                <a:pPr>
                  <a:defRPr sz="500"/>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[grafica.xlsx]Hoja1!$A$2:$K$2</c:f>
              <c:numCache>
                <c:formatCode>General</c:formatCode>
                <c:ptCount val="11"/>
                <c:pt idx="0">
                  <c:v>36.3</c:v>
                </c:pt>
                <c:pt idx="1">
                  <c:v>23.6</c:v>
                </c:pt>
                <c:pt idx="2">
                  <c:v>19.8</c:v>
                </c:pt>
                <c:pt idx="3">
                  <c:v>13.8</c:v>
                </c:pt>
                <c:pt idx="4">
                  <c:v>11.9</c:v>
                </c:pt>
                <c:pt idx="5">
                  <c:v>24.3</c:v>
                </c:pt>
                <c:pt idx="6">
                  <c:v>22.1</c:v>
                </c:pt>
                <c:pt idx="7">
                  <c:v>18.9</c:v>
                </c:pt>
                <c:pt idx="8">
                  <c:v>15.0</c:v>
                </c:pt>
                <c:pt idx="9">
                  <c:v>11.2</c:v>
                </c:pt>
                <c:pt idx="10">
                  <c:v>11.1</c:v>
                </c:pt>
              </c:numCache>
            </c:numRef>
          </c:val>
        </c:ser>
        <c:ser>
          <c:idx val="1"/>
          <c:order val="1"/>
          <c:invertIfNegative val="0"/>
          <c:dLbls>
            <c:dLbl>
              <c:idx val="3"/>
              <c:layout>
                <c:manualLayout>
                  <c:x val="0.0164575190290064"/>
                  <c:y val="0.0107991360691144"/>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0164575190290064"/>
                  <c:y val="0.0035997120230382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0.0164575190290064"/>
                  <c:y val="0.00359971202303816"/>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500"/>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[grafica.xlsx]Hoja1!$A$3:$K$3</c:f>
              <c:numCache>
                <c:formatCode>General</c:formatCode>
                <c:ptCount val="11"/>
                <c:pt idx="0">
                  <c:v>42.4</c:v>
                </c:pt>
                <c:pt idx="1">
                  <c:v>31.6</c:v>
                </c:pt>
                <c:pt idx="2">
                  <c:v>21.1</c:v>
                </c:pt>
                <c:pt idx="3">
                  <c:v>15.1</c:v>
                </c:pt>
                <c:pt idx="4">
                  <c:v>11.1</c:v>
                </c:pt>
                <c:pt idx="5">
                  <c:v>26.7</c:v>
                </c:pt>
                <c:pt idx="6">
                  <c:v>24.0</c:v>
                </c:pt>
                <c:pt idx="7">
                  <c:v>19.1</c:v>
                </c:pt>
                <c:pt idx="8">
                  <c:v>17.5</c:v>
                </c:pt>
                <c:pt idx="9">
                  <c:v>15.6</c:v>
                </c:pt>
                <c:pt idx="10">
                  <c:v>13.6</c:v>
                </c:pt>
              </c:numCache>
            </c:numRef>
          </c:val>
        </c:ser>
        <c:dLbls>
          <c:showLegendKey val="0"/>
          <c:showVal val="0"/>
          <c:showCatName val="0"/>
          <c:showSerName val="0"/>
          <c:showPercent val="0"/>
          <c:showBubbleSize val="0"/>
        </c:dLbls>
        <c:gapWidth val="150"/>
        <c:axId val="2074308808"/>
        <c:axId val="2074283928"/>
      </c:barChart>
      <c:catAx>
        <c:axId val="2074308808"/>
        <c:scaling>
          <c:orientation val="minMax"/>
        </c:scaling>
        <c:delete val="0"/>
        <c:axPos val="b"/>
        <c:title>
          <c:tx>
            <c:rich>
              <a:bodyPr/>
              <a:lstStyle/>
              <a:p>
                <a:pPr>
                  <a:defRPr sz="800"/>
                </a:pPr>
                <a:r>
                  <a:rPr lang="es-ES" sz="800"/>
                  <a:t>Edad</a:t>
                </a:r>
                <a:r>
                  <a:rPr lang="es-ES" sz="800" baseline="0"/>
                  <a:t> en años </a:t>
                </a:r>
                <a:endParaRPr lang="es-ES" sz="800"/>
              </a:p>
            </c:rich>
          </c:tx>
          <c:layout>
            <c:manualLayout>
              <c:xMode val="edge"/>
              <c:yMode val="edge"/>
              <c:x val="0.405388493105029"/>
              <c:y val="0.910574875798439"/>
            </c:manualLayout>
          </c:layout>
          <c:overlay val="0"/>
        </c:title>
        <c:majorTickMark val="out"/>
        <c:minorTickMark val="none"/>
        <c:tickLblPos val="nextTo"/>
        <c:txPr>
          <a:bodyPr/>
          <a:lstStyle/>
          <a:p>
            <a:pPr>
              <a:defRPr sz="600"/>
            </a:pPr>
            <a:endParaRPr lang="es-ES"/>
          </a:p>
        </c:txPr>
        <c:crossAx val="2074283928"/>
        <c:crosses val="autoZero"/>
        <c:auto val="1"/>
        <c:lblAlgn val="ctr"/>
        <c:lblOffset val="100"/>
        <c:noMultiLvlLbl val="0"/>
      </c:catAx>
      <c:valAx>
        <c:axId val="2074283928"/>
        <c:scaling>
          <c:orientation val="minMax"/>
        </c:scaling>
        <c:delete val="0"/>
        <c:axPos val="l"/>
        <c:title>
          <c:tx>
            <c:rich>
              <a:bodyPr rot="-5400000" vert="horz"/>
              <a:lstStyle/>
              <a:p>
                <a:pPr>
                  <a:defRPr sz="800">
                    <a:latin typeface="+mn-lt"/>
                  </a:defRPr>
                </a:pPr>
                <a:r>
                  <a:rPr lang="es-ES" sz="800">
                    <a:latin typeface="+mn-lt"/>
                  </a:rPr>
                  <a:t>Porcentaje</a:t>
                </a:r>
                <a:r>
                  <a:rPr lang="es-ES" sz="800" baseline="0">
                    <a:latin typeface="+mn-lt"/>
                  </a:rPr>
                  <a:t> de la población</a:t>
                </a:r>
                <a:endParaRPr lang="es-ES" sz="800">
                  <a:latin typeface="+mn-lt"/>
                </a:endParaRPr>
              </a:p>
            </c:rich>
          </c:tx>
          <c:layout>
            <c:manualLayout>
              <c:xMode val="edge"/>
              <c:yMode val="edge"/>
              <c:x val="0.0023519976669583"/>
              <c:y val="0.167073313848544"/>
            </c:manualLayout>
          </c:layout>
          <c:overlay val="0"/>
        </c:title>
        <c:numFmt formatCode="General" sourceLinked="1"/>
        <c:majorTickMark val="out"/>
        <c:minorTickMark val="none"/>
        <c:tickLblPos val="nextTo"/>
        <c:txPr>
          <a:bodyPr/>
          <a:lstStyle/>
          <a:p>
            <a:pPr>
              <a:defRPr sz="600"/>
            </a:pPr>
            <a:endParaRPr lang="es-ES"/>
          </a:p>
        </c:txPr>
        <c:crossAx val="2074308808"/>
        <c:crosses val="autoZero"/>
        <c:crossBetween val="between"/>
      </c:valAx>
    </c:plotArea>
    <c:plotVisOnly val="0"/>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600"/>
            </a:pPr>
            <a:r>
              <a:rPr lang="es-ES" sz="600">
                <a:latin typeface="Avenir Book"/>
                <a:cs typeface="Avenir Book"/>
              </a:rPr>
              <a:t>"Porcentaje de asistencia a la escuela de niños de 5 a 11 años</a:t>
            </a:r>
            <a:r>
              <a:rPr lang="es-ES" sz="600"/>
              <a:t>"</a:t>
            </a:r>
          </a:p>
        </c:rich>
      </c:tx>
      <c:layout>
        <c:manualLayout>
          <c:xMode val="edge"/>
          <c:yMode val="edge"/>
          <c:x val="0.081467403839912"/>
          <c:y val="0.0228303859021368"/>
        </c:manualLayout>
      </c:layout>
      <c:overlay val="0"/>
    </c:title>
    <c:autoTitleDeleted val="0"/>
    <c:plotArea>
      <c:layout>
        <c:manualLayout>
          <c:layoutTarget val="inner"/>
          <c:xMode val="edge"/>
          <c:yMode val="edge"/>
          <c:x val="0.0684018710173017"/>
          <c:y val="0.205555555555556"/>
          <c:w val="0.612133228709505"/>
          <c:h val="0.616876421436593"/>
        </c:manualLayout>
      </c:layout>
      <c:barChart>
        <c:barDir val="col"/>
        <c:grouping val="clustered"/>
        <c:varyColors val="0"/>
        <c:ser>
          <c:idx val="1"/>
          <c:order val="0"/>
          <c:tx>
            <c:v>"Porcentje de asitencia a la escuela de niños de 5 a 11 años"</c:v>
          </c:tx>
          <c:invertIfNegative val="0"/>
          <c:cat>
            <c:numRef>
              <c:f>[Escolares.info.xlsx]Hoja1!$I$1:$I$7</c:f>
              <c:numCache>
                <c:formatCode>General</c:formatCode>
                <c:ptCount val="7"/>
                <c:pt idx="0">
                  <c:v>5.0</c:v>
                </c:pt>
                <c:pt idx="1">
                  <c:v>6.0</c:v>
                </c:pt>
                <c:pt idx="2">
                  <c:v>7.0</c:v>
                </c:pt>
                <c:pt idx="3">
                  <c:v>8.0</c:v>
                </c:pt>
                <c:pt idx="4">
                  <c:v>9.0</c:v>
                </c:pt>
                <c:pt idx="5">
                  <c:v>10.0</c:v>
                </c:pt>
                <c:pt idx="6">
                  <c:v>11.0</c:v>
                </c:pt>
              </c:numCache>
            </c:numRef>
          </c:cat>
          <c:val>
            <c:numRef>
              <c:f>[Escolares.info.xlsx]Hoja1!$J$1:$J$7</c:f>
              <c:numCache>
                <c:formatCode>General</c:formatCode>
                <c:ptCount val="7"/>
                <c:pt idx="0">
                  <c:v>85.39</c:v>
                </c:pt>
                <c:pt idx="1">
                  <c:v>95.24</c:v>
                </c:pt>
                <c:pt idx="2">
                  <c:v>96.25</c:v>
                </c:pt>
                <c:pt idx="3">
                  <c:v>96.78</c:v>
                </c:pt>
                <c:pt idx="4">
                  <c:v>96.71</c:v>
                </c:pt>
                <c:pt idx="5">
                  <c:v>96.52</c:v>
                </c:pt>
                <c:pt idx="6">
                  <c:v>100.0</c:v>
                </c:pt>
              </c:numCache>
            </c:numRef>
          </c:val>
        </c:ser>
        <c:dLbls>
          <c:showLegendKey val="0"/>
          <c:showVal val="0"/>
          <c:showCatName val="0"/>
          <c:showSerName val="0"/>
          <c:showPercent val="0"/>
          <c:showBubbleSize val="0"/>
        </c:dLbls>
        <c:gapWidth val="150"/>
        <c:axId val="2076827000"/>
        <c:axId val="2076832488"/>
      </c:barChart>
      <c:catAx>
        <c:axId val="2076827000"/>
        <c:scaling>
          <c:orientation val="minMax"/>
        </c:scaling>
        <c:delete val="0"/>
        <c:axPos val="b"/>
        <c:title>
          <c:tx>
            <c:rich>
              <a:bodyPr/>
              <a:lstStyle/>
              <a:p>
                <a:pPr>
                  <a:defRPr sz="600"/>
                </a:pPr>
                <a:r>
                  <a:rPr lang="es-ES" sz="600"/>
                  <a:t>Edad</a:t>
                </a:r>
              </a:p>
            </c:rich>
          </c:tx>
          <c:layout>
            <c:manualLayout>
              <c:xMode val="edge"/>
              <c:yMode val="edge"/>
              <c:x val="0.339535183062821"/>
              <c:y val="0.928486293206198"/>
            </c:manualLayout>
          </c:layout>
          <c:overlay val="0"/>
        </c:title>
        <c:numFmt formatCode="General" sourceLinked="1"/>
        <c:majorTickMark val="out"/>
        <c:minorTickMark val="none"/>
        <c:tickLblPos val="nextTo"/>
        <c:txPr>
          <a:bodyPr/>
          <a:lstStyle/>
          <a:p>
            <a:pPr>
              <a:defRPr sz="500"/>
            </a:pPr>
            <a:endParaRPr lang="es-ES"/>
          </a:p>
        </c:txPr>
        <c:crossAx val="2076832488"/>
        <c:crosses val="autoZero"/>
        <c:auto val="1"/>
        <c:lblAlgn val="ctr"/>
        <c:lblOffset val="100"/>
        <c:noMultiLvlLbl val="0"/>
      </c:catAx>
      <c:valAx>
        <c:axId val="2076832488"/>
        <c:scaling>
          <c:orientation val="minMax"/>
        </c:scaling>
        <c:delete val="0"/>
        <c:axPos val="l"/>
        <c:majorGridlines/>
        <c:numFmt formatCode="General" sourceLinked="1"/>
        <c:majorTickMark val="out"/>
        <c:minorTickMark val="none"/>
        <c:tickLblPos val="nextTo"/>
        <c:txPr>
          <a:bodyPr/>
          <a:lstStyle/>
          <a:p>
            <a:pPr>
              <a:defRPr sz="500"/>
            </a:pPr>
            <a:endParaRPr lang="es-ES"/>
          </a:p>
        </c:txPr>
        <c:crossAx val="2076827000"/>
        <c:crosses val="autoZero"/>
        <c:crossBetween val="between"/>
      </c:valAx>
    </c:plotArea>
    <c:legend>
      <c:legendPos val="r"/>
      <c:layout>
        <c:manualLayout>
          <c:xMode val="edge"/>
          <c:yMode val="edge"/>
          <c:x val="0.7131106989104"/>
          <c:y val="0.254300234942542"/>
          <c:w val="0.202193904374894"/>
          <c:h val="0.287987751531059"/>
        </c:manualLayout>
      </c:layout>
      <c:overlay val="0"/>
      <c:txPr>
        <a:bodyPr/>
        <a:lstStyle/>
        <a:p>
          <a:pPr>
            <a:defRPr sz="500"/>
          </a:pPr>
          <a:endParaRPr lang="es-E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600" b="1" i="0" u="none" strike="noStrike" kern="1200" baseline="0">
                <a:solidFill>
                  <a:sysClr val="windowText" lastClr="000000"/>
                </a:solidFill>
                <a:latin typeface="+mn-lt"/>
                <a:ea typeface="+mn-ea"/>
                <a:cs typeface="+mn-cs"/>
              </a:defRPr>
            </a:pPr>
            <a:r>
              <a:rPr lang="es-ES_tradnl" sz="600">
                <a:effectLst/>
              </a:rPr>
              <a:t>Participación en educación de jóvenes de 15 a 20 años de edad, 2012 </a:t>
            </a:r>
          </a:p>
          <a:p>
            <a:pPr marL="0" marR="0" indent="0" algn="ctr" defTabSz="914400" rtl="0" eaLnBrk="1" fontAlgn="auto" latinLnBrk="0" hangingPunct="1">
              <a:lnSpc>
                <a:spcPct val="100000"/>
              </a:lnSpc>
              <a:spcBef>
                <a:spcPts val="0"/>
              </a:spcBef>
              <a:spcAft>
                <a:spcPts val="0"/>
              </a:spcAft>
              <a:buClrTx/>
              <a:buSzTx/>
              <a:buFontTx/>
              <a:buNone/>
              <a:tabLst/>
              <a:defRPr sz="600" b="1" i="0" u="none" strike="noStrike" kern="1200" baseline="0">
                <a:solidFill>
                  <a:sysClr val="windowText" lastClr="000000"/>
                </a:solidFill>
                <a:latin typeface="+mn-lt"/>
                <a:ea typeface="+mn-ea"/>
                <a:cs typeface="+mn-cs"/>
              </a:defRPr>
            </a:pPr>
            <a:endParaRPr lang="es-ES" sz="600"/>
          </a:p>
        </c:rich>
      </c:tx>
      <c:layout>
        <c:manualLayout>
          <c:xMode val="edge"/>
          <c:yMode val="edge"/>
          <c:x val="0.0794939116359011"/>
          <c:y val="0.198278111140099"/>
        </c:manualLayout>
      </c:layout>
      <c:overlay val="0"/>
    </c:title>
    <c:autoTitleDeleted val="0"/>
    <c:plotArea>
      <c:layout>
        <c:manualLayout>
          <c:layoutTarget val="inner"/>
          <c:xMode val="edge"/>
          <c:yMode val="edge"/>
          <c:x val="0.0770308065987857"/>
          <c:y val="0.313520820553363"/>
          <c:w val="0.667530138506111"/>
          <c:h val="0.477307433421402"/>
        </c:manualLayout>
      </c:layout>
      <c:barChart>
        <c:barDir val="col"/>
        <c:grouping val="clustered"/>
        <c:varyColors val="0"/>
        <c:ser>
          <c:idx val="0"/>
          <c:order val="0"/>
          <c:tx>
            <c:strRef>
              <c:f>[Libro1]Hoja1!$B$1</c:f>
              <c:strCache>
                <c:ptCount val="1"/>
                <c:pt idx="0">
                  <c:v>México</c:v>
                </c:pt>
              </c:strCache>
            </c:strRef>
          </c:tx>
          <c:invertIfNegative val="0"/>
          <c:dLbls>
            <c:delete val="1"/>
          </c:dLbls>
          <c:val>
            <c:numRef>
              <c:f>[Libro1]Hoja1!$B$2:$B$7</c:f>
              <c:numCache>
                <c:formatCode>General</c:formatCode>
                <c:ptCount val="6"/>
                <c:pt idx="0">
                  <c:v>65.0</c:v>
                </c:pt>
                <c:pt idx="1">
                  <c:v>62.0</c:v>
                </c:pt>
                <c:pt idx="2">
                  <c:v>53.0</c:v>
                </c:pt>
                <c:pt idx="3">
                  <c:v>35.0</c:v>
                </c:pt>
                <c:pt idx="4">
                  <c:v>47.0</c:v>
                </c:pt>
                <c:pt idx="5">
                  <c:v>29.0</c:v>
                </c:pt>
              </c:numCache>
            </c:numRef>
          </c:val>
        </c:ser>
        <c:ser>
          <c:idx val="1"/>
          <c:order val="1"/>
          <c:tx>
            <c:strRef>
              <c:f>[Libro1]Hoja1!$C$1</c:f>
              <c:strCache>
                <c:ptCount val="1"/>
                <c:pt idx="0">
                  <c:v>Promedio OCDE</c:v>
                </c:pt>
              </c:strCache>
            </c:strRef>
          </c:tx>
          <c:invertIfNegative val="0"/>
          <c:dLbls>
            <c:delete val="1"/>
          </c:dLbls>
          <c:val>
            <c:numRef>
              <c:f>[Libro1]Hoja1!$C$2:$C$7</c:f>
              <c:numCache>
                <c:formatCode>General</c:formatCode>
                <c:ptCount val="6"/>
                <c:pt idx="0">
                  <c:v>95.0</c:v>
                </c:pt>
                <c:pt idx="1">
                  <c:v>92.0</c:v>
                </c:pt>
                <c:pt idx="2">
                  <c:v>88.0</c:v>
                </c:pt>
                <c:pt idx="3">
                  <c:v>75.0</c:v>
                </c:pt>
                <c:pt idx="4">
                  <c:v>62.0</c:v>
                </c:pt>
                <c:pt idx="5">
                  <c:v>53.0</c:v>
                </c:pt>
              </c:numCache>
            </c:numRef>
          </c:val>
        </c:ser>
        <c:dLbls>
          <c:showLegendKey val="0"/>
          <c:showVal val="1"/>
          <c:showCatName val="0"/>
          <c:showSerName val="0"/>
          <c:showPercent val="0"/>
          <c:showBubbleSize val="0"/>
        </c:dLbls>
        <c:gapWidth val="150"/>
        <c:axId val="2076863928"/>
        <c:axId val="2076643960"/>
      </c:barChart>
      <c:catAx>
        <c:axId val="2076863928"/>
        <c:scaling>
          <c:orientation val="minMax"/>
        </c:scaling>
        <c:delete val="0"/>
        <c:axPos val="b"/>
        <c:title>
          <c:tx>
            <c:rich>
              <a:bodyPr/>
              <a:lstStyle/>
              <a:p>
                <a:pPr>
                  <a:defRPr sz="600"/>
                </a:pPr>
                <a:r>
                  <a:rPr lang="es-ES" sz="600"/>
                  <a:t>Edad</a:t>
                </a:r>
              </a:p>
            </c:rich>
          </c:tx>
          <c:layout>
            <c:manualLayout>
              <c:xMode val="edge"/>
              <c:yMode val="edge"/>
              <c:x val="0.406733985135768"/>
              <c:y val="0.903320722992854"/>
            </c:manualLayout>
          </c:layout>
          <c:overlay val="0"/>
        </c:title>
        <c:majorTickMark val="none"/>
        <c:minorTickMark val="none"/>
        <c:tickLblPos val="none"/>
        <c:crossAx val="2076643960"/>
        <c:crosses val="autoZero"/>
        <c:auto val="1"/>
        <c:lblAlgn val="ctr"/>
        <c:lblOffset val="100"/>
        <c:noMultiLvlLbl val="0"/>
      </c:catAx>
      <c:valAx>
        <c:axId val="2076643960"/>
        <c:scaling>
          <c:orientation val="minMax"/>
        </c:scaling>
        <c:delete val="0"/>
        <c:axPos val="l"/>
        <c:majorGridlines/>
        <c:numFmt formatCode="General" sourceLinked="1"/>
        <c:majorTickMark val="out"/>
        <c:minorTickMark val="none"/>
        <c:tickLblPos val="nextTo"/>
        <c:txPr>
          <a:bodyPr/>
          <a:lstStyle/>
          <a:p>
            <a:pPr>
              <a:defRPr sz="500"/>
            </a:pPr>
            <a:endParaRPr lang="es-ES"/>
          </a:p>
        </c:txPr>
        <c:crossAx val="2076863928"/>
        <c:crosses val="autoZero"/>
        <c:crossBetween val="between"/>
      </c:valAx>
    </c:plotArea>
    <c:legend>
      <c:legendPos val="r"/>
      <c:layout/>
      <c:overlay val="0"/>
      <c:txPr>
        <a:bodyPr/>
        <a:lstStyle/>
        <a:p>
          <a:pPr>
            <a:defRPr sz="600"/>
          </a:pPr>
          <a:endParaRPr lang="es-ES"/>
        </a:p>
      </c:txPr>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600"/>
            </a:pPr>
            <a:r>
              <a:rPr lang="es-ES" sz="600">
                <a:latin typeface="Avenir Book"/>
                <a:cs typeface="Avenir Book"/>
              </a:rPr>
              <a:t>Efecto</a:t>
            </a:r>
            <a:r>
              <a:rPr lang="es-ES" sz="600" baseline="0">
                <a:latin typeface="Avenir Book"/>
                <a:cs typeface="Avenir Book"/>
              </a:rPr>
              <a:t> marginal por sexo y edad en la asistencia a la escuela.</a:t>
            </a:r>
            <a:endParaRPr lang="es-ES" sz="600">
              <a:latin typeface="Avenir Book"/>
              <a:cs typeface="Avenir Book"/>
            </a:endParaRPr>
          </a:p>
        </c:rich>
      </c:tx>
      <c:layout>
        <c:manualLayout>
          <c:xMode val="edge"/>
          <c:yMode val="edge"/>
          <c:x val="0.0923304701430238"/>
          <c:y val="0.0787127367109733"/>
        </c:manualLayout>
      </c:layout>
      <c:overlay val="0"/>
    </c:title>
    <c:autoTitleDeleted val="0"/>
    <c:plotArea>
      <c:layout>
        <c:manualLayout>
          <c:layoutTarget val="inner"/>
          <c:xMode val="edge"/>
          <c:yMode val="edge"/>
          <c:x val="0.0684173528918416"/>
          <c:y val="0.216504939284271"/>
          <c:w val="0.698617853780468"/>
          <c:h val="0.693196576186007"/>
        </c:manualLayout>
      </c:layout>
      <c:lineChart>
        <c:grouping val="standard"/>
        <c:varyColors val="0"/>
        <c:ser>
          <c:idx val="0"/>
          <c:order val="0"/>
          <c:tx>
            <c:strRef>
              <c:f>[Libro1]Hoja1!$J$66</c:f>
              <c:strCache>
                <c:ptCount val="1"/>
                <c:pt idx="0">
                  <c:v>Mujeres</c:v>
                </c:pt>
              </c:strCache>
            </c:strRef>
          </c:tx>
          <c:spPr>
            <a:ln w="3175" cmpd="sng"/>
          </c:spPr>
          <c:val>
            <c:numRef>
              <c:f>[Libro1]Hoja1!$J$67:$J$73</c:f>
              <c:numCache>
                <c:formatCode>General</c:formatCode>
                <c:ptCount val="7"/>
                <c:pt idx="0">
                  <c:v>0.158011</c:v>
                </c:pt>
                <c:pt idx="1">
                  <c:v>0.185892</c:v>
                </c:pt>
                <c:pt idx="2">
                  <c:v>0.380294</c:v>
                </c:pt>
                <c:pt idx="3">
                  <c:v>0.538206</c:v>
                </c:pt>
                <c:pt idx="4">
                  <c:v>0.624801</c:v>
                </c:pt>
                <c:pt idx="5">
                  <c:v>0.736349</c:v>
                </c:pt>
                <c:pt idx="6">
                  <c:v>0.763397</c:v>
                </c:pt>
              </c:numCache>
            </c:numRef>
          </c:val>
          <c:smooth val="0"/>
        </c:ser>
        <c:ser>
          <c:idx val="1"/>
          <c:order val="1"/>
          <c:tx>
            <c:strRef>
              <c:f>[Libro1]Hoja1!$K$66</c:f>
              <c:strCache>
                <c:ptCount val="1"/>
                <c:pt idx="0">
                  <c:v>Hombres</c:v>
                </c:pt>
              </c:strCache>
            </c:strRef>
          </c:tx>
          <c:spPr>
            <a:ln w="3175" cmpd="sng">
              <a:prstDash val="solid"/>
            </a:ln>
          </c:spPr>
          <c:val>
            <c:numRef>
              <c:f>[Libro1]Hoja1!$K$67:$K$73</c:f>
              <c:numCache>
                <c:formatCode>General</c:formatCode>
                <c:ptCount val="7"/>
                <c:pt idx="0">
                  <c:v>0.170835</c:v>
                </c:pt>
                <c:pt idx="1">
                  <c:v>0.287516</c:v>
                </c:pt>
                <c:pt idx="2">
                  <c:v>0.483783</c:v>
                </c:pt>
                <c:pt idx="3">
                  <c:v>0.598964</c:v>
                </c:pt>
                <c:pt idx="4">
                  <c:v>0.662348</c:v>
                </c:pt>
                <c:pt idx="5">
                  <c:v>0.755902</c:v>
                </c:pt>
                <c:pt idx="6">
                  <c:v>0.783359</c:v>
                </c:pt>
              </c:numCache>
            </c:numRef>
          </c:val>
          <c:smooth val="1"/>
        </c:ser>
        <c:dLbls>
          <c:showLegendKey val="0"/>
          <c:showVal val="0"/>
          <c:showCatName val="0"/>
          <c:showSerName val="0"/>
          <c:showPercent val="0"/>
          <c:showBubbleSize val="0"/>
        </c:dLbls>
        <c:marker val="1"/>
        <c:smooth val="0"/>
        <c:axId val="2076070856"/>
        <c:axId val="2076076328"/>
      </c:lineChart>
      <c:catAx>
        <c:axId val="2076070856"/>
        <c:scaling>
          <c:orientation val="minMax"/>
        </c:scaling>
        <c:delete val="1"/>
        <c:axPos val="b"/>
        <c:title>
          <c:tx>
            <c:rich>
              <a:bodyPr/>
              <a:lstStyle/>
              <a:p>
                <a:pPr>
                  <a:defRPr sz="600"/>
                </a:pPr>
                <a:r>
                  <a:rPr lang="es-ES" sz="600"/>
                  <a:t>Años</a:t>
                </a:r>
              </a:p>
            </c:rich>
          </c:tx>
          <c:layout>
            <c:manualLayout>
              <c:xMode val="edge"/>
              <c:yMode val="edge"/>
              <c:x val="0.376641711299003"/>
              <c:y val="0.888273340832396"/>
            </c:manualLayout>
          </c:layout>
          <c:overlay val="0"/>
        </c:title>
        <c:majorTickMark val="out"/>
        <c:minorTickMark val="none"/>
        <c:tickLblPos val="nextTo"/>
        <c:crossAx val="2076076328"/>
        <c:crosses val="autoZero"/>
        <c:auto val="1"/>
        <c:lblAlgn val="ctr"/>
        <c:lblOffset val="100"/>
        <c:noMultiLvlLbl val="0"/>
      </c:catAx>
      <c:valAx>
        <c:axId val="2076076328"/>
        <c:scaling>
          <c:orientation val="minMax"/>
        </c:scaling>
        <c:delete val="0"/>
        <c:axPos val="l"/>
        <c:majorGridlines/>
        <c:numFmt formatCode="General" sourceLinked="1"/>
        <c:majorTickMark val="out"/>
        <c:minorTickMark val="none"/>
        <c:tickLblPos val="nextTo"/>
        <c:txPr>
          <a:bodyPr/>
          <a:lstStyle/>
          <a:p>
            <a:pPr>
              <a:defRPr sz="600"/>
            </a:pPr>
            <a:endParaRPr lang="es-ES"/>
          </a:p>
        </c:txPr>
        <c:crossAx val="2076070856"/>
        <c:crosses val="autoZero"/>
        <c:crossBetween val="between"/>
      </c:valAx>
    </c:plotArea>
    <c:legend>
      <c:legendPos val="r"/>
      <c:legendEntry>
        <c:idx val="0"/>
        <c:txPr>
          <a:bodyPr/>
          <a:lstStyle/>
          <a:p>
            <a:pPr>
              <a:defRPr sz="600"/>
            </a:pPr>
            <a:endParaRPr lang="es-ES"/>
          </a:p>
        </c:txPr>
      </c:legendEntry>
      <c:legendEntry>
        <c:idx val="1"/>
        <c:txPr>
          <a:bodyPr/>
          <a:lstStyle/>
          <a:p>
            <a:pPr>
              <a:defRPr sz="600"/>
            </a:pPr>
            <a:endParaRPr lang="es-ES"/>
          </a:p>
        </c:txPr>
      </c:legendEntry>
      <c:layout>
        <c:manualLayout>
          <c:xMode val="edge"/>
          <c:yMode val="edge"/>
          <c:x val="0.780933517996597"/>
          <c:y val="0.445782161188896"/>
          <c:w val="0.219066376439833"/>
          <c:h val="0.213655651670897"/>
        </c:manualLayout>
      </c:layout>
      <c:overlay val="0"/>
      <c:txPr>
        <a:bodyPr/>
        <a:lstStyle/>
        <a:p>
          <a:pPr>
            <a:defRPr sz="600"/>
          </a:pPr>
          <a:endParaRPr lang="es-E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s-MX" sz="600"/>
              <a:t>Porcentaje</a:t>
            </a:r>
            <a:r>
              <a:rPr lang="es-MX" sz="600" baseline="0"/>
              <a:t> de mujeres con anemia en regiones 2 y 3.</a:t>
            </a:r>
          </a:p>
          <a:p>
            <a:pPr>
              <a:defRPr sz="1400"/>
            </a:pPr>
            <a:endParaRPr lang="es-MX" sz="1400"/>
          </a:p>
        </c:rich>
      </c:tx>
      <c:layout/>
      <c:overlay val="0"/>
    </c:title>
    <c:autoTitleDeleted val="0"/>
    <c:plotArea>
      <c:layout/>
      <c:barChart>
        <c:barDir val="bar"/>
        <c:grouping val="clustered"/>
        <c:varyColors val="0"/>
        <c:ser>
          <c:idx val="0"/>
          <c:order val="0"/>
          <c:invertIfNegative val="0"/>
          <c:cat>
            <c:strRef>
              <c:f>Hoja1!$B$2:$B$3</c:f>
              <c:strCache>
                <c:ptCount val="2"/>
                <c:pt idx="0">
                  <c:v>Region 2</c:v>
                </c:pt>
                <c:pt idx="1">
                  <c:v>Region 3</c:v>
                </c:pt>
              </c:strCache>
            </c:strRef>
          </c:cat>
          <c:val>
            <c:numRef>
              <c:f>Hoja1!$C$2:$C$3</c:f>
              <c:numCache>
                <c:formatCode>General</c:formatCode>
                <c:ptCount val="2"/>
                <c:pt idx="0">
                  <c:v>1.02</c:v>
                </c:pt>
                <c:pt idx="1">
                  <c:v>1.7</c:v>
                </c:pt>
              </c:numCache>
            </c:numRef>
          </c:val>
        </c:ser>
        <c:dLbls>
          <c:showLegendKey val="0"/>
          <c:showVal val="0"/>
          <c:showCatName val="0"/>
          <c:showSerName val="0"/>
          <c:showPercent val="0"/>
          <c:showBubbleSize val="0"/>
        </c:dLbls>
        <c:gapWidth val="150"/>
        <c:axId val="2072092008"/>
        <c:axId val="2072088728"/>
      </c:barChart>
      <c:catAx>
        <c:axId val="2072092008"/>
        <c:scaling>
          <c:orientation val="minMax"/>
        </c:scaling>
        <c:delete val="0"/>
        <c:axPos val="l"/>
        <c:numFmt formatCode="General" sourceLinked="0"/>
        <c:majorTickMark val="none"/>
        <c:minorTickMark val="none"/>
        <c:tickLblPos val="nextTo"/>
        <c:txPr>
          <a:bodyPr/>
          <a:lstStyle/>
          <a:p>
            <a:pPr>
              <a:defRPr sz="600"/>
            </a:pPr>
            <a:endParaRPr lang="es-ES"/>
          </a:p>
        </c:txPr>
        <c:crossAx val="2072088728"/>
        <c:crosses val="autoZero"/>
        <c:auto val="1"/>
        <c:lblAlgn val="ctr"/>
        <c:lblOffset val="100"/>
        <c:noMultiLvlLbl val="0"/>
      </c:catAx>
      <c:valAx>
        <c:axId val="2072088728"/>
        <c:scaling>
          <c:orientation val="minMax"/>
        </c:scaling>
        <c:delete val="0"/>
        <c:axPos val="b"/>
        <c:majorGridlines/>
        <c:numFmt formatCode="General" sourceLinked="1"/>
        <c:majorTickMark val="none"/>
        <c:minorTickMark val="none"/>
        <c:tickLblPos val="nextTo"/>
        <c:txPr>
          <a:bodyPr/>
          <a:lstStyle/>
          <a:p>
            <a:pPr>
              <a:defRPr sz="600"/>
            </a:pPr>
            <a:endParaRPr lang="es-ES"/>
          </a:p>
        </c:txPr>
        <c:crossAx val="207209200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600"/>
            </a:pPr>
            <a:r>
              <a:rPr lang="es-MX" sz="600"/>
              <a:t>Porcentaje</a:t>
            </a:r>
            <a:r>
              <a:rPr lang="es-MX" sz="600" baseline="0"/>
              <a:t> de personas con anemia en los distintos quintiles</a:t>
            </a:r>
            <a:endParaRPr lang="es-MX" sz="600"/>
          </a:p>
        </c:rich>
      </c:tx>
      <c:layout>
        <c:manualLayout>
          <c:xMode val="edge"/>
          <c:yMode val="edge"/>
          <c:x val="0.157666127014497"/>
          <c:y val="0.121621511438289"/>
        </c:manualLayout>
      </c:layout>
      <c:overlay val="0"/>
    </c:title>
    <c:autoTitleDeleted val="0"/>
    <c:plotArea>
      <c:layout/>
      <c:barChart>
        <c:barDir val="col"/>
        <c:grouping val="clustered"/>
        <c:varyColors val="0"/>
        <c:ser>
          <c:idx val="0"/>
          <c:order val="0"/>
          <c:tx>
            <c:strRef>
              <c:f>Hoja1!$C$4</c:f>
              <c:strCache>
                <c:ptCount val="1"/>
                <c:pt idx="0">
                  <c:v>Mujeres</c:v>
                </c:pt>
              </c:strCache>
            </c:strRef>
          </c:tx>
          <c:invertIfNegative val="0"/>
          <c:dLbls>
            <c:spPr>
              <a:noFill/>
              <a:ln>
                <a:noFill/>
              </a:ln>
              <a:effectLst/>
            </c:spPr>
            <c:txPr>
              <a:bodyPr/>
              <a:lstStyle/>
              <a:p>
                <a:pPr>
                  <a:defRPr sz="600"/>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Hoja1!$B$5:$B$8</c:f>
              <c:strCache>
                <c:ptCount val="4"/>
                <c:pt idx="0">
                  <c:v>Quintil 2</c:v>
                </c:pt>
                <c:pt idx="1">
                  <c:v>Quintil 3</c:v>
                </c:pt>
                <c:pt idx="2">
                  <c:v>Quintil 4</c:v>
                </c:pt>
                <c:pt idx="3">
                  <c:v>Quintil 5</c:v>
                </c:pt>
              </c:strCache>
            </c:strRef>
          </c:cat>
          <c:val>
            <c:numRef>
              <c:f>Hoja1!$C$5:$C$8</c:f>
              <c:numCache>
                <c:formatCode>General</c:formatCode>
                <c:ptCount val="4"/>
                <c:pt idx="0">
                  <c:v>1.76</c:v>
                </c:pt>
                <c:pt idx="1">
                  <c:v>2.45</c:v>
                </c:pt>
                <c:pt idx="2">
                  <c:v>2.35</c:v>
                </c:pt>
                <c:pt idx="3">
                  <c:v>3.36</c:v>
                </c:pt>
              </c:numCache>
            </c:numRef>
          </c:val>
        </c:ser>
        <c:ser>
          <c:idx val="1"/>
          <c:order val="1"/>
          <c:tx>
            <c:strRef>
              <c:f>Hoja1!$D$4</c:f>
              <c:strCache>
                <c:ptCount val="1"/>
                <c:pt idx="0">
                  <c:v>Hombres</c:v>
                </c:pt>
              </c:strCache>
            </c:strRef>
          </c:tx>
          <c:invertIfNegative val="0"/>
          <c:dLbls>
            <c:spPr>
              <a:noFill/>
              <a:ln>
                <a:noFill/>
              </a:ln>
              <a:effectLst/>
            </c:spPr>
            <c:txPr>
              <a:bodyPr/>
              <a:lstStyle/>
              <a:p>
                <a:pPr>
                  <a:defRPr sz="600"/>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Hoja1!$B$5:$B$8</c:f>
              <c:strCache>
                <c:ptCount val="4"/>
                <c:pt idx="0">
                  <c:v>Quintil 2</c:v>
                </c:pt>
                <c:pt idx="1">
                  <c:v>Quintil 3</c:v>
                </c:pt>
                <c:pt idx="2">
                  <c:v>Quintil 4</c:v>
                </c:pt>
                <c:pt idx="3">
                  <c:v>Quintil 5</c:v>
                </c:pt>
              </c:strCache>
            </c:strRef>
          </c:cat>
          <c:val>
            <c:numRef>
              <c:f>Hoja1!$D$5:$D$8</c:f>
              <c:numCache>
                <c:formatCode>General</c:formatCode>
                <c:ptCount val="4"/>
                <c:pt idx="0">
                  <c:v>1.65</c:v>
                </c:pt>
                <c:pt idx="1">
                  <c:v>2.23</c:v>
                </c:pt>
                <c:pt idx="2">
                  <c:v>2.77</c:v>
                </c:pt>
                <c:pt idx="3">
                  <c:v>3.15</c:v>
                </c:pt>
              </c:numCache>
            </c:numRef>
          </c:val>
        </c:ser>
        <c:dLbls>
          <c:showLegendKey val="0"/>
          <c:showVal val="1"/>
          <c:showCatName val="0"/>
          <c:showSerName val="0"/>
          <c:showPercent val="0"/>
          <c:showBubbleSize val="0"/>
        </c:dLbls>
        <c:gapWidth val="150"/>
        <c:overlap val="-25"/>
        <c:axId val="2072038792"/>
        <c:axId val="2072035768"/>
      </c:barChart>
      <c:catAx>
        <c:axId val="2072038792"/>
        <c:scaling>
          <c:orientation val="minMax"/>
        </c:scaling>
        <c:delete val="0"/>
        <c:axPos val="b"/>
        <c:numFmt formatCode="General" sourceLinked="0"/>
        <c:majorTickMark val="none"/>
        <c:minorTickMark val="none"/>
        <c:tickLblPos val="nextTo"/>
        <c:txPr>
          <a:bodyPr/>
          <a:lstStyle/>
          <a:p>
            <a:pPr>
              <a:defRPr sz="600"/>
            </a:pPr>
            <a:endParaRPr lang="es-ES"/>
          </a:p>
        </c:txPr>
        <c:crossAx val="2072035768"/>
        <c:crosses val="autoZero"/>
        <c:auto val="1"/>
        <c:lblAlgn val="ctr"/>
        <c:lblOffset val="100"/>
        <c:noMultiLvlLbl val="0"/>
      </c:catAx>
      <c:valAx>
        <c:axId val="2072035768"/>
        <c:scaling>
          <c:orientation val="minMax"/>
        </c:scaling>
        <c:delete val="1"/>
        <c:axPos val="l"/>
        <c:numFmt formatCode="General" sourceLinked="1"/>
        <c:majorTickMark val="out"/>
        <c:minorTickMark val="none"/>
        <c:tickLblPos val="nextTo"/>
        <c:crossAx val="2072038792"/>
        <c:crosses val="autoZero"/>
        <c:crossBetween val="between"/>
      </c:valAx>
    </c:plotArea>
    <c:legend>
      <c:legendPos val="t"/>
      <c:layout>
        <c:manualLayout>
          <c:xMode val="edge"/>
          <c:yMode val="edge"/>
          <c:x val="0.22778840729021"/>
          <c:y val="0.260875693053161"/>
          <c:w val="0.395129332548385"/>
          <c:h val="0.0883354372554626"/>
        </c:manualLayout>
      </c:layout>
      <c:overlay val="0"/>
      <c:txPr>
        <a:bodyPr/>
        <a:lstStyle/>
        <a:p>
          <a:pPr>
            <a:defRPr sz="600"/>
          </a:pPr>
          <a:endParaRPr lang="es-ES"/>
        </a:p>
      </c:txPr>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0.10912</cdr:x>
      <cdr:y>0.81234</cdr:y>
    </cdr:from>
    <cdr:to>
      <cdr:x>0.19409</cdr:x>
      <cdr:y>0.89759</cdr:y>
    </cdr:to>
    <cdr:sp macro="" textlink="">
      <cdr:nvSpPr>
        <cdr:cNvPr id="2" name="Cuadro de texto 1"/>
        <cdr:cNvSpPr txBox="1"/>
      </cdr:nvSpPr>
      <cdr:spPr>
        <a:xfrm xmlns:a="http://schemas.openxmlformats.org/drawingml/2006/main">
          <a:off x="419972" y="1977200"/>
          <a:ext cx="327027" cy="2074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500"/>
            <a:t>15</a:t>
          </a:r>
        </a:p>
      </cdr:txBody>
    </cdr:sp>
  </cdr:relSizeAnchor>
  <cdr:relSizeAnchor xmlns:cdr="http://schemas.openxmlformats.org/drawingml/2006/chartDrawing">
    <cdr:from>
      <cdr:x>0.109</cdr:x>
      <cdr:y>0.88555</cdr:y>
    </cdr:from>
    <cdr:to>
      <cdr:x>0.19397</cdr:x>
      <cdr:y>0.97079</cdr:y>
    </cdr:to>
    <cdr:sp macro="" textlink="">
      <cdr:nvSpPr>
        <cdr:cNvPr id="3" name="Cuadro de texto 1"/>
        <cdr:cNvSpPr txBox="1"/>
      </cdr:nvSpPr>
      <cdr:spPr>
        <a:xfrm xmlns:a="http://schemas.openxmlformats.org/drawingml/2006/main">
          <a:off x="586528" y="2374688"/>
          <a:ext cx="457200" cy="228600"/>
        </a:xfrm>
        <a:prstGeom xmlns:a="http://schemas.openxmlformats.org/drawingml/2006/main" prst="rect">
          <a:avLst/>
        </a:prstGeom>
      </cdr:spPr>
    </cdr:sp>
  </cdr:relSizeAnchor>
  <cdr:relSizeAnchor xmlns:cdr="http://schemas.openxmlformats.org/drawingml/2006/chartDrawing">
    <cdr:from>
      <cdr:x>0.20577</cdr:x>
      <cdr:y>0.8666</cdr:y>
    </cdr:from>
    <cdr:to>
      <cdr:x>0.29073</cdr:x>
      <cdr:y>0.95185</cdr:y>
    </cdr:to>
    <cdr:sp macro="" textlink="">
      <cdr:nvSpPr>
        <cdr:cNvPr id="4" name="Cuadro de texto 1"/>
        <cdr:cNvSpPr txBox="1"/>
      </cdr:nvSpPr>
      <cdr:spPr>
        <a:xfrm xmlns:a="http://schemas.openxmlformats.org/drawingml/2006/main">
          <a:off x="1107228" y="2323888"/>
          <a:ext cx="457200" cy="228600"/>
        </a:xfrm>
        <a:prstGeom xmlns:a="http://schemas.openxmlformats.org/drawingml/2006/main" prst="rect">
          <a:avLst/>
        </a:prstGeom>
      </cdr:spPr>
    </cdr:sp>
  </cdr:relSizeAnchor>
  <cdr:relSizeAnchor xmlns:cdr="http://schemas.openxmlformats.org/drawingml/2006/chartDrawing">
    <cdr:from>
      <cdr:x>0.22791</cdr:x>
      <cdr:y>0.81234</cdr:y>
    </cdr:from>
    <cdr:to>
      <cdr:x>0.3467</cdr:x>
      <cdr:y>0.89759</cdr:y>
    </cdr:to>
    <cdr:sp macro="" textlink="">
      <cdr:nvSpPr>
        <cdr:cNvPr id="5" name="Cuadro de texto 4"/>
        <cdr:cNvSpPr txBox="1"/>
      </cdr:nvSpPr>
      <cdr:spPr>
        <a:xfrm xmlns:a="http://schemas.openxmlformats.org/drawingml/2006/main">
          <a:off x="877172" y="1977200"/>
          <a:ext cx="457200" cy="2074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500"/>
            <a:t>16</a:t>
          </a:r>
        </a:p>
      </cdr:txBody>
    </cdr:sp>
  </cdr:relSizeAnchor>
  <cdr:relSizeAnchor xmlns:cdr="http://schemas.openxmlformats.org/drawingml/2006/chartDrawing">
    <cdr:from>
      <cdr:x>0.21521</cdr:x>
      <cdr:y>0.88555</cdr:y>
    </cdr:from>
    <cdr:to>
      <cdr:x>0.30017</cdr:x>
      <cdr:y>0.97079</cdr:y>
    </cdr:to>
    <cdr:sp macro="" textlink="">
      <cdr:nvSpPr>
        <cdr:cNvPr id="6" name="Cuadro de texto 1"/>
        <cdr:cNvSpPr txBox="1"/>
      </cdr:nvSpPr>
      <cdr:spPr>
        <a:xfrm xmlns:a="http://schemas.openxmlformats.org/drawingml/2006/main">
          <a:off x="1158028" y="2374688"/>
          <a:ext cx="457200" cy="228600"/>
        </a:xfrm>
        <a:prstGeom xmlns:a="http://schemas.openxmlformats.org/drawingml/2006/main" prst="rect">
          <a:avLst/>
        </a:prstGeom>
      </cdr:spPr>
    </cdr:sp>
  </cdr:relSizeAnchor>
  <cdr:relSizeAnchor xmlns:cdr="http://schemas.openxmlformats.org/drawingml/2006/chartDrawing">
    <cdr:from>
      <cdr:x>0.3467</cdr:x>
      <cdr:y>0.81234</cdr:y>
    </cdr:from>
    <cdr:to>
      <cdr:x>0.41958</cdr:x>
      <cdr:y>0.86227</cdr:y>
    </cdr:to>
    <cdr:sp macro="" textlink="">
      <cdr:nvSpPr>
        <cdr:cNvPr id="7" name="Cuadro de texto 6"/>
        <cdr:cNvSpPr txBox="1"/>
      </cdr:nvSpPr>
      <cdr:spPr>
        <a:xfrm xmlns:a="http://schemas.openxmlformats.org/drawingml/2006/main">
          <a:off x="1334372" y="1977200"/>
          <a:ext cx="280497" cy="1215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500"/>
            <a:t>17</a:t>
          </a:r>
        </a:p>
      </cdr:txBody>
    </cdr:sp>
  </cdr:relSizeAnchor>
  <cdr:relSizeAnchor xmlns:cdr="http://schemas.openxmlformats.org/drawingml/2006/chartDrawing">
    <cdr:from>
      <cdr:x>0.43942</cdr:x>
      <cdr:y>0.81234</cdr:y>
    </cdr:from>
    <cdr:to>
      <cdr:x>0.52489</cdr:x>
      <cdr:y>0.90923</cdr:y>
    </cdr:to>
    <cdr:sp macro="" textlink="">
      <cdr:nvSpPr>
        <cdr:cNvPr id="8" name="Cuadro de texto 7"/>
        <cdr:cNvSpPr txBox="1"/>
      </cdr:nvSpPr>
      <cdr:spPr>
        <a:xfrm xmlns:a="http://schemas.openxmlformats.org/drawingml/2006/main">
          <a:off x="1691210" y="1977200"/>
          <a:ext cx="328961" cy="2358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500"/>
            <a:t>18</a:t>
          </a:r>
        </a:p>
      </cdr:txBody>
    </cdr:sp>
  </cdr:relSizeAnchor>
  <cdr:relSizeAnchor xmlns:cdr="http://schemas.openxmlformats.org/drawingml/2006/chartDrawing">
    <cdr:from>
      <cdr:x>0.58429</cdr:x>
      <cdr:y>0.81234</cdr:y>
    </cdr:from>
    <cdr:to>
      <cdr:x>0.59617</cdr:x>
      <cdr:y>0.89462</cdr:y>
    </cdr:to>
    <cdr:sp macro="" textlink="">
      <cdr:nvSpPr>
        <cdr:cNvPr id="9" name="Cuadro de texto 8"/>
        <cdr:cNvSpPr txBox="1"/>
      </cdr:nvSpPr>
      <cdr:spPr>
        <a:xfrm xmlns:a="http://schemas.openxmlformats.org/drawingml/2006/main">
          <a:off x="2248772" y="1977200"/>
          <a:ext cx="45719" cy="20027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500"/>
            <a:t>19</a:t>
          </a:r>
        </a:p>
      </cdr:txBody>
    </cdr:sp>
  </cdr:relSizeAnchor>
  <cdr:relSizeAnchor xmlns:cdr="http://schemas.openxmlformats.org/drawingml/2006/chartDrawing">
    <cdr:from>
      <cdr:x>0.67338</cdr:x>
      <cdr:y>0.81234</cdr:y>
    </cdr:from>
    <cdr:to>
      <cdr:x>0.78402</cdr:x>
      <cdr:y>0.89462</cdr:y>
    </cdr:to>
    <cdr:sp macro="" textlink="">
      <cdr:nvSpPr>
        <cdr:cNvPr id="10" name="Cuadro de texto 9"/>
        <cdr:cNvSpPr txBox="1"/>
      </cdr:nvSpPr>
      <cdr:spPr>
        <a:xfrm xmlns:a="http://schemas.openxmlformats.org/drawingml/2006/main">
          <a:off x="2591672" y="1977200"/>
          <a:ext cx="425813" cy="20027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500"/>
            <a:t>20</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WHO11</b:Tag>
    <b:SourceType>InternetSite</b:SourceType>
    <b:Guid>{B9C78E7F-B72D-624F-AF59-2C34B0C6C300}</b:Guid>
    <b:Author>
      <b:Author>
        <b:NameList>
          <b:Person>
            <b:Last>WHO</b:Last>
          </b:Person>
        </b:NameList>
      </b:Author>
    </b:Author>
    <b:Title>Hemoglobin concentratios for the diagnosis of anemia and assessent of severity. Vitamin and Mineral Nutrition Information System </b:Title>
    <b:InternetSiteTitle>WHO</b:InternetSiteTitle>
    <b:URL>http://www.who.int/vmins/indicators/hemoglobin.pdf,</b:URL>
    <b:Year>2011</b:Year>
    <b:YearAccessed>2016</b:YearAccessed>
    <b:MonthAccessed>04</b:MonthAccessed>
    <b:DayAccessed>21</b:DayAccessed>
    <b:RefOrder>6</b:RefOrder>
  </b:Source>
  <b:Source>
    <b:Tag>Ben05</b:Tag>
    <b:SourceType>DocumentFromInternetSite</b:SourceType>
    <b:Guid>{C31116D8-8273-8049-AF53-6C0A27C13179}</b:Guid>
    <b:Author>
      <b:Author>
        <b:NameList>
          <b:Person>
            <b:Last>Benoist</b:Last>
            <b:First>Bruno</b:First>
            <b:Middle>de</b:Middle>
          </b:Person>
          <b:Person>
            <b:Last>McLean</b:Last>
            <b:First>Erin</b:First>
          </b:Person>
          <b:Person>
            <b:Last>Egli </b:Last>
            <b:First> Ines </b:First>
          </b:Person>
          <b:Person>
            <b:Last>Cogswell.</b:Last>
            <b:First>Mary </b:First>
          </b:Person>
        </b:NameList>
      </b:Author>
    </b:Author>
    <b:Title>Worldwide prevalence of anaemia 1993–2005</b:Title>
    <b:InternetSiteTitle>WHO Global Database on Anaemia</b:InternetSiteTitle>
    <b:URL>http://apps.who.int/iris/bitstream/10665/43894/1/9789241596657_eng.pdf</b:URL>
    <b:Year>2005</b:Year>
    <b:YearAccessed>2016</b:YearAccessed>
    <b:RefOrder>1</b:RefOrder>
  </b:Source>
  <b:Source>
    <b:Tag>GMa03</b:Tag>
    <b:SourceType>JournalArticle</b:SourceType>
    <b:Guid>{FFA82CAC-CE3F-6B46-B309-B9FE747E1CA8}</b:Guid>
    <b:Title>Consecuencias de la deficiencia de hierro</b:Title>
    <b:Year>2003</b:Year>
    <b:Month>12</b:Month>
    <b:Comments>http://www.scielo.cl/scielo.php?pid=s0717-75182003000300002&amp;script=sci_arttext</b:Comments>
    <b:Author>
      <b:Author>
        <b:NameList>
          <b:Person>
            <b:Last>G</b:Last>
            <b:First>Manuel</b:First>
            <b:Middle>Olivares</b:Middle>
          </b:Person>
          <b:Person>
            <b:Last>Walter K.</b:Last>
            <b:First>Tomás</b:First>
          </b:Person>
        </b:NameList>
      </b:Author>
    </b:Author>
    <b:JournalName>Revista Chilena de nutrición (Versión on-line)</b:JournalName>
    <b:Publisher>Revista Chilena de nutrición</b:Publisher>
    <b:Volume>30</b:Volume>
    <b:Issue>3</b:Issue>
    <b:RefOrder>2</b:RefOrder>
  </b:Source>
  <b:Source>
    <b:Tag>Gil07</b:Tag>
    <b:SourceType>JournalArticle</b:SourceType>
    <b:Guid>{7BD41CD6-0BB1-6445-B01C-499CB44380CD}</b:Guid>
    <b:Author>
      <b:Author>
        <b:NameList>
          <b:Person>
            <b:Last>Gilda G</b:Last>
            <b:First>Stanco</b:First>
          </b:Person>
        </b:NameList>
      </b:Author>
    </b:Author>
    <b:Title>Funcionamiento intelectual y rendimiento escolar en niños con anemia ydeficiencia de hierro</b:Title>
    <b:JournalName>Colombia Médicadel Valle</b:JournalName>
    <b:Publisher>Corporación Editora Médica del</b:Publisher>
    <b:Year>2007</b:Year>
    <b:Month>Enero-Mayo</b:Month>
    <b:Volume>38</b:Volume>
    <b:Issue>1</b:Issue>
    <b:Pages>25-26</b:Pages>
    <b:Comments>http://www.scielo.org.co/pdf/cm/v38n1s1/v38n1s1a04.pdf</b:Comments>
    <b:RefOrder>3</b:RefOrder>
  </b:Source>
  <b:Source>
    <b:Tag>OCD14</b:Tag>
    <b:SourceType>DocumentFromInternetSite</b:SourceType>
    <b:Guid>{6B2E387C-5F21-CD41-9734-6041BA74A196}</b:Guid>
    <b:Title>Panorama de la educación 2014</b:Title>
    <b:Year>2014</b:Year>
    <b:InternetSiteTitle>OCDE</b:InternetSiteTitle>
    <b:URL>www.oecd.org/edu/Mexico-EAG2014-Country-Note-spanish.pdf</b:URL>
    <b:YearAccessed>2016</b:YearAccessed>
    <b:MonthAccessed>05</b:MonthAccessed>
    <b:DayAccessed>12</b:DayAccessed>
    <b:Author>
      <b:Author>
        <b:NameList>
          <b:Person>
            <b:Last>OCDE</b:Last>
          </b:Person>
        </b:NameList>
      </b:Author>
    </b:Author>
    <b:Institution>OCDE</b:Institution>
    <b:RefOrder>4</b:RefOrder>
  </b:Source>
  <b:Source>
    <b:Tag>Sal12</b:Tag>
    <b:SourceType>InternetSite</b:SourceType>
    <b:Guid>{91E2A924-1CEF-754B-8274-B644817DD45C}</b:Guid>
    <b:Author>
      <b:Author>
        <b:NameList>
          <b:Person>
            <b:Last>Woldenberg</b:Last>
            <b:First>Salomón</b:First>
            <b:Middle>Chertorivski</b:Middle>
          </b:Person>
        </b:NameList>
      </b:Author>
    </b:Author>
    <b:Title>Mensaje del Secretario de Slud</b:Title>
    <b:InternetSiteTitle>ENSANUT</b:InternetSiteTitle>
    <b:URL>http://ensanut.insp.mx/mensaje_ssalud.php#.V0Tzravp05g</b:URL>
    <b:Year>2012</b:Year>
    <b:YearAccessed>2016</b:YearAccessed>
    <b:MonthAccessed>Mayo</b:MonthAccessed>
    <b:DayAccessed>20</b:DayAccessed>
    <b:RefOrder>7</b:RefOrder>
  </b:Source>
  <b:Source>
    <b:Tag>INE10</b:Tag>
    <b:SourceType>InternetSite</b:SourceType>
    <b:Guid>{2A40CCD3-7E73-3348-80F1-9729E898E8C8}</b:Guid>
    <b:Author>
      <b:Author>
        <b:NameList>
          <b:Person>
            <b:Last>INEGI</b:Last>
          </b:Person>
        </b:NameList>
      </b:Author>
    </b:Author>
    <b:Title>Principales resultados por AGEB y manzana urbana</b:Title>
    <b:InternetSiteTitle>INEGI</b:InternetSiteTitle>
    <b:URL>http://www.inegi.org.mx/sistemas/consulta_resultados/ageb_urb2010.aspx?c=28111</b:URL>
    <b:Year>2010</b:Year>
    <b:YearAccessed>2016</b:YearAccessed>
    <b:MonthAccessed>Mayo </b:MonthAccessed>
    <b:DayAccessed>21</b:DayAccessed>
    <b:RefOrder>5</b:RefOrder>
  </b:Source>
  <b:Source>
    <b:Tag>Rom12</b:Tag>
    <b:SourceType>InternetSite</b:SourceType>
    <b:Guid>{1C262702-B1E1-6545-B777-1DEFBCE0EBFC}</b:Guid>
    <b:Title>Guía para el análisis de la ENSANUT 2012</b:Title>
    <b:City>México</b:City>
    <b:Year>2012</b:Year>
    <b:InternetSiteTitle>ENSANUT</b:InternetSiteTitle>
    <b:URL>http://ensanut.insp.mx/doctos/seminario/T0101.pdf</b:URL>
    <b:YearAccessed>2016</b:YearAccessed>
    <b:MonthAccessed>04</b:MonthAccessed>
    <b:Author>
      <b:Author>
        <b:NameList>
          <b:Person>
            <b:Last>Romero Martínez</b:Last>
            <b:First>Martín</b:First>
          </b:Person>
        </b:NameList>
      </b:Author>
      <b:ProducerName>
        <b:NameList>
          <b:Person>
            <b:Last>Pública</b:Last>
            <b:First>Instituto</b:First>
            <b:Middle>Nacional de Salud</b:Middle>
          </b:Person>
        </b:NameList>
      </b:ProducerName>
    </b:Author>
    <b:PublicationTitle>Guía para el análisis de la ENSANUT 2012</b:PublicationTitle>
    <b:RefOrder>8</b:RefOrder>
  </b:Source>
  <b:Source>
    <b:Tag>Uni</b:Tag>
    <b:SourceType>InternetSite</b:SourceType>
    <b:Guid>{ECE4A786-71A2-4E45-A4B0-BF3D169D6EB0}</b:Guid>
    <b:Author>
      <b:Author>
        <b:Corporate>Universidad de Granada</b:Corporate>
      </b:Author>
    </b:Author>
    <b:Title>Modelos de elección discreta </b:Title>
    <b:InternetSiteTitle>Universidad de Granada</b:InternetSiteTitle>
    <b:URL>http://www.ugr.es/~romansg/material/WebEco/Eco2-Discreta.pdf</b:URL>
    <b:RefOrder>9</b:RefOrder>
  </b:Source>
  <b:Source>
    <b:Tag>Sen09</b:Tag>
    <b:SourceType>JournalArticle</b:SourceType>
    <b:Guid>{2842CBDD-BFA4-994F-A17A-8C3957A6F826}</b:Guid>
    <b:Title>Impact of iron-folic acid supplementation on cognitive abilities of school girls in Vadodara.</b:Title>
    <b:Year>2009</b:Year>
    <b:Month>02</b:Month>
    <b:JournalName>Indian Pediatrics</b:JournalName>
    <b:City>Vadodara</b:City>
    <b:Volume>46</b:Volume>
    <b:Issue>2</b:Issue>
    <b:Pages>137-143</b:Pages>
    <b:Author>
      <b:Author>
        <b:NameList>
          <b:Person>
            <b:Last>Sen</b:Last>
            <b:First>A.</b:First>
          </b:Person>
          <b:Person>
            <b:Last>Kanani</b:Last>
            <b:First>SJ</b:First>
          </b:Person>
        </b:NameList>
      </b:Author>
    </b:Author>
    <b:RefOrder>10</b:RefOrder>
  </b:Source>
  <b:Source>
    <b:Tag>Eff12</b:Tag>
    <b:SourceType>JournalArticle</b:SourceType>
    <b:Guid>{BDE4F2B2-29D5-2846-990E-7C2EEF2F103C}</b:Guid>
    <b:Title>Effect of long-term intermittent supplementation with multiple micronutrients compared with iron-and-folic acid supplementation on Hb and micronutrient status of non-anaemic adolescent schoolgirls in rural Bangladesh.</b:Title>
    <b:JournalName>British Journal of Nutrition</b:JournalName>
    <b:Year>2012</b:Year>
    <b:Month>10</b:Month>
    <b:Day>28</b:Day>
    <b:Volume>108</b:Volume>
    <b:Issue>8</b:Issue>
    <b:Pages>1484-93</b:Pages>
    <b:Author>
      <b:Author>
        <b:NameList>
          <b:Person>
            <b:Last>F</b:Last>
            <b:First>Ahmed</b:First>
          </b:Person>
          <b:Person>
            <b:Last>MR</b:Last>
            <b:First>Khan</b:First>
          </b:Person>
          <b:Person>
            <b:Last>M</b:Last>
            <b:First>Akhtaruzzaman</b:First>
          </b:Person>
          <b:Person>
            <b:Last>Karim R</b:Last>
          </b:Person>
          <b:Person>
            <b:Last>G</b:Last>
            <b:First>Williams</b:First>
          </b:Person>
          <b:Person>
            <b:Last>CP</b:Last>
            <b:First>Banu</b:First>
          </b:Person>
          <b:Person>
            <b:Last>B</b:Last>
            <b:First>Nahar</b:First>
          </b:Person>
          <b:Person>
            <b:Last>I</b:Last>
            <b:First>Darnton-Hill</b:First>
          </b:Person>
        </b:NameList>
      </b:Author>
    </b:Author>
    <b:RefOrder>11</b:RefOrder>
  </b:Source>
  <b:Source>
    <b:Tag>NEM07</b:Tag>
    <b:SourceType>JournalArticle</b:SourceType>
    <b:Guid>{23F2B1E4-69B7-C04C-9299-6B7A0CCD479A}</b:Guid>
    <b:Author>
      <b:Author>
        <b:NameList>
          <b:Person>
            <b:Last>Group</b:Last>
            <b:First>NEMO</b:First>
            <b:Middle>Study</b:Middle>
          </b:Person>
        </b:NameList>
      </b:Author>
    </b:Author>
    <b:Title>Effect of a 12-mo micronutrient intervention on learning and memory in well-nourished and marginally nourished school-aged children: 2 parallel, randomized, placebo-controlled studies in Australia and Indonesia.</b:Title>
    <b:JournalName>The American Journal of Clinical Nutrition</b:JournalName>
    <b:Year>2007</b:Year>
    <b:Month>10</b:Month>
    <b:Volume>86</b:Volume>
    <b:Issue>4</b:Issue>
    <b:Pages>1082-93</b:Pages>
    <b:RefOrder>12</b:RefOrder>
  </b:Source>
  <b:Source>
    <b:Tag>Man08</b:Tag>
    <b:SourceType>JournalArticle</b:SourceType>
    <b:Guid>{1420200B-EE15-2E4C-9B3B-889337CDB3BA}</b:Guid>
    <b:Author>
      <b:Author>
        <b:NameList>
          <b:Person>
            <b:Last>Manger MS</b:Last>
            <b:First>McKenzie</b:First>
            <b:Middle>JE, Winichagoon P, Gray A, Chavasit V, Pongcharoen T, Gowachirapant S, Ryan B, Wasantwisut E, Gibson RS.</b:Middle>
          </b:Person>
        </b:NameList>
      </b:Author>
    </b:Author>
    <b:Title>A micronutrient-fortified seasoning powder reduces morbidity and improves short-term cognitive function, but has no effect on anthropometric measures in primary school children in northeast Thailand: a randomized controlled trial.</b:Title>
    <b:JournalName>￼￼The American Journal of Clinical nutrition</b:JournalName>
    <b:Year>2008</b:Year>
    <b:Month>07</b:Month>
    <b:Volume>87</b:Volume>
    <b:Issue>6</b:Issue>
    <b:Pages>1715-22</b:Pages>
    <b:RefOrder>13</b:RefOrder>
  </b:Source>
  <b:Source>
    <b:Tag>CON15</b:Tag>
    <b:SourceType>Report</b:SourceType>
    <b:Guid>{347F04EB-3D12-8448-9715-10D78B1B280F}</b:Guid>
    <b:Title>Informe de los resultados de la medición de pobreza 2014</b:Title>
    <b:Year>2015</b:Year>
    <b:Author>
      <b:Author>
        <b:NameList>
          <b:Person>
            <b:Last>CONEVAL</b:Last>
          </b:Person>
        </b:NameList>
      </b:Author>
    </b:Author>
    <b:Institution>CONEVAL</b:Institution>
    <b:Department>Dirección de información y comunicación social </b:Department>
    <b:ThesisType>Comunicado de prensa </b:ThesisType>
    <b:RefOrder>14</b:RefOrder>
  </b:Source>
  <b:Source>
    <b:Tag>Hec12</b:Tag>
    <b:SourceType>Report</b:SourceType>
    <b:Guid>{940D0E9B-AFE1-1845-86BE-237D1E802084}</b:Guid>
    <b:Author>
      <b:Author>
        <b:NameList>
          <b:Person>
            <b:Last>Vásquez</b:Last>
            <b:First>Héctor</b:First>
            <b:Middle>V. Robles</b:Middle>
          </b:Person>
        </b:NameList>
      </b:Author>
    </b:Author>
    <b:Title>Panorama Educativo de México 2010 Indicadores del Sistema Educativo Nacional Educación Básica y Media Superior</b:Title>
    <b:Institution>INEE</b:Institution>
    <b:City>México</b:City>
    <b:ThesisType>Infoorme de indicadores</b:ThesisType>
    <b:Year>2012</b:Year>
    <b:RefOrder>15</b:RefOrder>
  </b:Source>
  <b:Source>
    <b:Tag>WHO161</b:Tag>
    <b:SourceType>InternetSite</b:SourceType>
    <b:Guid>{F07923EB-A98B-0E49-BEEC-94E499DECDD3}</b:Guid>
    <b:Author>
      <b:Author>
        <b:NameList>
          <b:Person>
            <b:Last>WHO</b:Last>
          </b:Person>
        </b:NameList>
      </b:Author>
      <b:ProducerName>
        <b:NameList>
          <b:Person>
            <b:Last>Organization</b:Last>
            <b:First>World</b:First>
            <b:Middle>Health</b:Middle>
          </b:Person>
        </b:NameList>
      </b:ProducerName>
    </b:Author>
    <b:Title>Micronutrient Deficiencies </b:Title>
    <b:InternetSiteTitle>World Health Organization</b:InternetSiteTitle>
    <b:URL>www.who.int/nutrition/topics/ida/en/</b:URL>
    <b:YearAccessed>2016</b:YearAccessed>
    <b:MonthAccessed>05</b:MonthAccessed>
    <b:DayAccessed>17</b:DayAccessed>
    <b:RefOrder>16</b:RefOrder>
  </b:Source>
  <b:Source>
    <b:Tag>Sen06</b:Tag>
    <b:SourceType>JournalArticle</b:SourceType>
    <b:Guid>{3B3EA8EB-9D5B-DF4F-8FD3-A3899F6FA021}</b:Guid>
    <b:Author>
      <b:Author>
        <b:NameList>
          <b:Person>
            <b:Last>Sen</b:Last>
            <b:First>A.</b:First>
          </b:Person>
          <b:Person>
            <b:Last>Kanani</b:Last>
            <b:First>S.J.</b:First>
          </b:Person>
        </b:NameList>
      </b:Author>
    </b:Author>
    <b:Title>Deleterius Functional Impact of Anemia on Young Adolescent School Girls</b:Title>
    <b:JournalName>Indian Pediatrics</b:JournalName>
    <b:Year>2006</b:Year>
    <b:Month>03</b:Month>
    <b:Day>17</b:Day>
    <b:Volume>43</b:Volume>
    <b:Pages>219-221</b:Pages>
    <b:Comments>indianpediatricts.net/mar2006/219.pdf</b:Comments>
    <b:RefOrder>17</b:RefOrder>
  </b:Source>
  <b:Source>
    <b:Tag>Ins15</b:Tag>
    <b:SourceType>InternetSite</b:SourceType>
    <b:Guid>{BD0C0E31-3ED7-A44C-B081-78BCA36358DE}</b:Guid>
    <b:Title>Mujeres y Hombres en México</b:Title>
    <b:Year>2015</b:Year>
    <b:Month>Diciembre</b:Month>
    <b:Day>2015</b:Day>
    <b:InternetSiteTitle>Cuentame INEGI </b:InternetSiteTitle>
    <b:URL>cuentame.inegi.org.mx/poblacion/mujeresyhombres.aspx?tema=P#sp</b:URL>
    <b:YearAccessed>2016</b:YearAccessed>
    <b:MonthAccessed>Mayo</b:MonthAccessed>
    <b:DayAccessed>20</b:DayAccessed>
    <b:Author>
      <b:Author>
        <b:NameList>
          <b:Person>
            <b:Last>Geografía</b:Last>
            <b:First>Instituto</b:First>
            <b:Middle>Nacional de Estadistica y</b:Middle>
          </b:Person>
        </b:NameList>
      </b:Author>
      <b:ProducerName>
        <b:NameList>
          <b:Person>
            <b:Last>INEGI</b:Last>
          </b:Person>
        </b:NameList>
      </b:ProducerName>
    </b:Author>
    <b:RefOrder>18</b:RefOrder>
  </b:Source>
  <b:Source>
    <b:Tag>CON14</b:Tag>
    <b:SourceType>InternetSite</b:SourceType>
    <b:Guid>{ED5E86B7-569C-FB46-9E18-B697F51279A9}</b:Guid>
    <b:Author>
      <b:Author>
        <b:NameList>
          <b:Person>
            <b:Last>CONEVAL</b:Last>
          </b:Person>
        </b:NameList>
      </b:Author>
    </b:Author>
    <b:Title>Medición de la Pobreza</b:Title>
    <b:InternetSiteTitle>CONEVAL</b:InternetSiteTitle>
    <b:URL>http://www.coneval.org.mx/Medicion/MP/Paginas/Pobreza_2014.aspx</b:URL>
    <b:Year>2014</b:Year>
    <b:Month>Noviembre-Diciembre</b:Month>
    <b:YearAccessed>2016</b:YearAccessed>
    <b:MonthAccessed>Mayo</b:MonthAccessed>
    <b:DayAccessed>19</b:DayAccessed>
    <b:RefOrder>19</b:RefOrder>
  </b:Source>
  <b:Source>
    <b:Tag>Vel94</b:Tag>
    <b:SourceType>JournalArticle</b:SourceType>
    <b:Guid>{F78B8720-924D-4744-8777-8349E74A249D}</b:Guid>
    <b:Title>Factores que Afectan el Rendimiento Académico en la Educación Primaria</b:Title>
    <b:Year>1994</b:Year>
    <b:Comments>http://biblioteca.uahurtado.cl/ujah/Reduc/pdf/pdf/7410.pdf</b:Comments>
    <b:JournalName>Revista latinoamericana de Innovaciones Educativas</b:JournalName>
    <b:City>Argentina </b:City>
    <b:Issue>17</b:Issue>
    <b:Author>
      <b:Author>
        <b:NameList>
          <b:Person>
            <b:Last>Velez</b:Last>
            <b:First>Eduardo</b:First>
          </b:Person>
          <b:Person>
            <b:Last>Valenzuela</b:Last>
            <b:First>Jorge</b:First>
          </b:Person>
          <b:Person>
            <b:Last>Schiefelbein</b:Last>
            <b:First>Ernesto</b:First>
          </b:Person>
        </b:NameList>
      </b:Author>
    </b:Author>
    <b:RefOrder>20</b:RefOrder>
  </b:Source>
  <b:Source>
    <b:Tag>WHO111</b:Tag>
    <b:SourceType>InternetSite</b:SourceType>
    <b:Guid>{90460289-F53B-DB4C-81F9-09BD46036760}</b:Guid>
    <b:Author>
      <b:Author>
        <b:NameList>
          <b:Person>
            <b:Last>WHO</b:Last>
          </b:Person>
        </b:NameList>
      </b:Author>
    </b:Author>
    <b:Title>Indicadores de micronutrientes</b:Title>
    <b:InternetSiteTitle>WHO</b:InternetSiteTitle>
    <b:URL>http://www.who.int/vmnis/indicators/haemoglobin_es.pdf</b:URL>
    <b:Year>2011</b:Year>
    <b:Month>(WHO/NMH/NHD/MNM/11.1)</b:Month>
    <b:YearAccessed>2016</b:YearAccessed>
    <b:MonthAccessed>Mayo</b:MonthAccessed>
    <b:DayAccessed>23</b:DayAccessed>
    <b:RefOrder>21</b:RefOrder>
  </b:Source>
  <b:Source>
    <b:Tag>Nat11</b:Tag>
    <b:SourceType>InternetSite</b:SourceType>
    <b:Guid>{19268ABE-1BE0-1945-ADF2-FA39856B97F1}</b:Guid>
    <b:Author>
      <b:Author>
        <b:NameList>
          <b:Person>
            <b:Last>Health</b:Last>
            <b:First>National</b:First>
            <b:Middle>Institutes of</b:Middle>
          </b:Person>
        </b:NameList>
      </b:Author>
    </b:Author>
    <b:Title>Guía breve sobre la anemia </b:Title>
    <b:InternetSiteTitle>National Institutes of Health </b:InternetSiteTitle>
    <b:URL>https://www.nhlbi.nih.gov/files/docs/public/blood/anemia-inbrief_yg_sp.pdf</b:URL>
    <b:Year>2011</b:Year>
    <b:Month>Septiembre</b:Month>
    <b:YearAccessed>2016</b:YearAccessed>
    <b:MonthAccessed>4 </b:MonthAccessed>
    <b:Comments>NIH Publication No. 11-7629AS</b:Comments>
    <b:RefOrder>22</b:RefOrder>
  </b:Source>
  <b:Source>
    <b:Tag>Nur14</b:Tag>
    <b:SourceType>ArticleInAPeriodical</b:SourceType>
    <b:Guid>{25C2F6FA-290A-0F40-86E0-6E2C3D872764}</b:Guid>
    <b:Title>Busca SEP sacar a 7.5 millones de rezago educativo</b:Title>
    <b:Year>2014</b:Year>
    <b:Month>8</b:Month>
    <b:Day>21</b:Day>
    <b:Comments>http://archivo.eluniversal.com.mx/primera-plana/2014/impreso/sep-lanza-plan-contra-el-rezago-educativo-46530.html</b:Comments>
    <b:Author>
      <b:Author>
        <b:NameList>
          <b:Person>
            <b:Last>Carballo</b:Last>
            <b:First>Nurit</b:First>
            <b:Middle>Martínez</b:Middle>
          </b:Person>
        </b:NameList>
      </b:Author>
    </b:Author>
    <b:PeriodicalTitle>El universal</b:PeriodicalTitle>
    <b:Publisher>El universal</b:Publisher>
    <b:RefOrder>23</b:RefOrder>
  </b:Source>
  <b:Source>
    <b:Tag>WHO112</b:Tag>
    <b:SourceType>DocumentFromInternetSite</b:SourceType>
    <b:Guid>{5EFFE67B-7940-3547-822C-7D8A8AF751D3}</b:Guid>
    <b:Author>
      <b:Author>
        <b:NameList>
          <b:Person>
            <b:Last>WHO</b:Last>
          </b:Person>
        </b:NameList>
      </b:Author>
      <b:ProducerName>
        <b:NameList>
          <b:Person>
            <b:Last>WHO</b:Last>
          </b:Person>
        </b:NameList>
      </b:ProducerName>
    </b:Author>
    <b:Title>Información del sistema de Nutrción de Vitaminas y Minerales</b:Title>
    <b:InternetSiteTitle>WHO</b:InternetSiteTitle>
    <b:Year>2011</b:Year>
    <b:YearAccessed>2016</b:YearAccessed>
    <b:RefOrder>24</b:RefOrder>
  </b:Source>
  <b:Source>
    <b:Tag>Mar08</b:Tag>
    <b:SourceType>JournalArticle</b:SourceType>
    <b:Guid>{793BBC9A-659C-EE4A-A93E-57529B9380F0}</b:Guid>
    <b:Title>La deficiencia de hierro y la anemia en niños mexicanos. Acciones para prevenirlas y corregirlas</b:Title>
    <b:JournalName>Boletín Médico del Hospital Infantil de México</b:JournalName>
    <b:Year>2008</b:Year>
    <b:Month>03-04</b:Month>
    <b:Volume>65</b:Volume>
    <b:Pages>86-99</b:Pages>
    <b:Comments>http://www.scielo.org.mx/pdf/bmim/v65n2/v65n2a3.pdf</b:Comments>
    <b:Author>
      <b:Author>
        <b:NameList>
          <b:Person>
            <b:Last>Martínez-Salgado</b:Last>
            <b:First>Homero</b:First>
          </b:Person>
          <b:Person>
            <b:Last>Casanueva</b:Last>
            <b:First>Esther</b:First>
          </b:Person>
          <b:Person>
            <b:Last>Rivera-Domarco</b:Last>
            <b:First>Juan</b:First>
          </b:Person>
          <b:Person>
            <b:Last>E. Viteri</b:Last>
            <b:First>Fernando</b:First>
          </b:Person>
          <b:Person>
            <b:Last>Boruges-Rodríguez</b:Last>
            <b:First>Héctor</b:First>
          </b:Person>
        </b:NameList>
      </b:Author>
    </b:Author>
    <b:RefOrder>25</b:RefOrder>
  </b:Source>
  <b:Source>
    <b:Tag>Web73</b:Tag>
    <b:SourceType>JournalArticle</b:SourceType>
    <b:Guid>{B0B3B3CF-7A82-124A-915D-1630291DD161}</b:Guid>
    <b:Title>Iron deficiency anemia and scholasticachievement in young adolescents</b:Title>
    <b:Year>1973</b:Year>
    <b:Month>05</b:Month>
    <b:JournalName>The Journal of Pediatrics</b:JournalName>
    <b:Volume>82</b:Volume>
    <b:Issue>5</b:Issue>
    <b:Pages>827-829</b:Pages>
    <b:Author>
      <b:Author>
        <b:NameList>
          <b:Person>
            <b:Last>Webb</b:Last>
            <b:First>Thomas</b:First>
          </b:Person>
          <b:Person>
            <b:Last>Oski</b:Last>
            <b:First>Frank</b:First>
          </b:Person>
        </b:NameList>
      </b:Author>
    </b:Author>
    <b:RefOrder>26</b:RefOrder>
  </b:Source>
  <b:Source>
    <b:Tag>Mur07</b:Tag>
    <b:SourceType>JournalArticle</b:SourceType>
    <b:Guid>{86AB22E3-02E2-E04B-8E2B-0F42D4B7C682}</b:Guid>
    <b:Title>Iron treatment normalizes cognitive functioning in young women</b:Title>
    <b:JournalName>The American Journal of Clinical Nutrition</b:JournalName>
    <b:Publisher>American Journal of Clinical Nutrition</b:Publisher>
    <b:Year>2007</b:Year>
    <b:Month>03</b:Month>
    <b:Volume>85</b:Volume>
    <b:Issue>3</b:Issue>
    <b:Pages>778-787</b:Pages>
    <b:Author>
      <b:Author>
        <b:NameList>
          <b:Person>
            <b:Last>Murray-Kolb</b:Last>
            <b:First>Laura</b:First>
          </b:Person>
          <b:Person>
            <b:Last>Beard</b:Last>
            <b:First>John</b:First>
          </b:Person>
        </b:NameList>
      </b:Author>
    </b:Author>
    <b:RefOrder>27</b:RefOrder>
  </b:Source>
  <b:Source>
    <b:Tag>ENS12</b:Tag>
    <b:SourceType>Report</b:SourceType>
    <b:Guid>{3C07BC2E-628E-0842-AF91-59BDF4080B3C}</b:Guid>
    <b:Title>Encuesta Nacional de Salud y Nutrición 2012. Resultados nacionales</b:Title>
    <b:Year>2012</b:Year>
    <b:Author>
      <b:Author>
        <b:Corporate>ENSANUT</b:Corporate>
      </b:Author>
    </b:Author>
    <b:Institution>Instituto Nacional de Salud Pública</b:Institution>
    <b:RefOrder>28</b:RefOrder>
  </b:Source>
  <b:Source>
    <b:Tag>Sha12</b:Tag>
    <b:SourceType>Report</b:SourceType>
    <b:Guid>{DBB67A32-C00D-6A4E-A3E5-D964C2E39B25}</b:Guid>
    <b:Title>Estudio de Magnitud de la desnutrición infantil,determinantes y efectos de los programas de desarrollo social 2007-2012</b:Title>
    <b:Institution>Instituto Nacional de Salud Pública</b:Institution>
    <b:Department>Centro de Investigación en Nutrición y Salud</b:Department>
    <b:City>Cuernavaca</b:City>
    <b:Year>2012</b:Year>
    <b:Author>
      <b:Author>
        <b:NameList>
          <b:Person>
            <b:Last>Shamah </b:Last>
            <b:First>Teresa</b:First>
          </b:Person>
          <b:Person>
            <b:Last>Villalpando </b:Last>
            <b:First>Salvador</b:First>
          </b:Person>
          <b:Person>
            <b:Last>Cuevas</b:Last>
            <b:First>Lucia</b:First>
          </b:Person>
          <b:Person>
            <b:Last>García </b:Last>
            <b:First>Armando</b:First>
          </b:Person>
          <b:Person>
            <b:Last>Rivera</b:Last>
            <b:First>Juan</b:First>
          </b:Person>
        </b:NameList>
      </b:Author>
    </b:Author>
    <b:RefOrder>29</b:RefOrder>
  </b:Source>
</b:Sources>
</file>

<file path=customXml/itemProps1.xml><?xml version="1.0" encoding="utf-8"?>
<ds:datastoreItem xmlns:ds="http://schemas.openxmlformats.org/officeDocument/2006/customXml" ds:itemID="{AE4FBAE6-9DBD-F742-86B7-8003BB38F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20</Pages>
  <Words>6307</Words>
  <Characters>34693</Characters>
  <Application>Microsoft Macintosh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MACAIR</dc:creator>
  <cp:lastModifiedBy>MACAIR</cp:lastModifiedBy>
  <cp:revision>24</cp:revision>
  <dcterms:created xsi:type="dcterms:W3CDTF">2016-09-15T02:06:00Z</dcterms:created>
  <dcterms:modified xsi:type="dcterms:W3CDTF">2016-09-19T04:58:00Z</dcterms:modified>
</cp:coreProperties>
</file>