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28" w:rsidRPr="00CB5F28" w:rsidRDefault="00CB5F28" w:rsidP="00863D0E">
      <w:pPr>
        <w:spacing w:before="240" w:line="240" w:lineRule="auto"/>
        <w:rPr>
          <w:rFonts w:ascii="Times New Roman" w:hAnsi="Times New Roman" w:cs="Times New Roman"/>
          <w:sz w:val="24"/>
          <w:szCs w:val="24"/>
        </w:rPr>
      </w:pPr>
    </w:p>
    <w:p w:rsidR="00127BFD" w:rsidRPr="00CF0A95" w:rsidRDefault="00127BFD" w:rsidP="00127BFD">
      <w:pPr>
        <w:jc w:val="center"/>
        <w:rPr>
          <w:rFonts w:ascii="Times New Roman" w:hAnsi="Times New Roman" w:cs="Times New Roman"/>
          <w:b/>
          <w:sz w:val="32"/>
          <w:szCs w:val="32"/>
        </w:rPr>
      </w:pPr>
      <w:r w:rsidRPr="00CF0A95">
        <w:rPr>
          <w:rFonts w:ascii="Times New Roman" w:hAnsi="Times New Roman" w:cs="Times New Roman"/>
          <w:b/>
          <w:sz w:val="32"/>
          <w:szCs w:val="32"/>
        </w:rPr>
        <w:t>XXVI COLOQUIO MEXICANO DE</w:t>
      </w:r>
    </w:p>
    <w:p w:rsidR="00127BFD" w:rsidRPr="00CF0A95" w:rsidRDefault="00127BFD" w:rsidP="00127BFD">
      <w:pPr>
        <w:jc w:val="center"/>
        <w:rPr>
          <w:rFonts w:ascii="Times New Roman" w:hAnsi="Times New Roman" w:cs="Times New Roman"/>
          <w:b/>
          <w:sz w:val="32"/>
          <w:szCs w:val="32"/>
        </w:rPr>
      </w:pPr>
      <w:r w:rsidRPr="00CF0A95">
        <w:rPr>
          <w:rFonts w:ascii="Times New Roman" w:hAnsi="Times New Roman" w:cs="Times New Roman"/>
          <w:b/>
          <w:sz w:val="32"/>
          <w:szCs w:val="32"/>
        </w:rPr>
        <w:t>ECONOMÍA MATEMÁTICA Y ECONOMETRÍA</w:t>
      </w:r>
    </w:p>
    <w:p w:rsidR="00127BFD" w:rsidRPr="00E9240E" w:rsidRDefault="00127BFD" w:rsidP="00127BFD">
      <w:pPr>
        <w:spacing w:line="240" w:lineRule="auto"/>
        <w:jc w:val="center"/>
        <w:rPr>
          <w:rFonts w:ascii="Times New Roman" w:hAnsi="Times New Roman" w:cs="Times New Roman"/>
          <w:b/>
          <w:i/>
          <w:sz w:val="28"/>
          <w:szCs w:val="28"/>
        </w:rPr>
      </w:pPr>
      <w:r w:rsidRPr="00E9240E">
        <w:rPr>
          <w:rFonts w:ascii="Times New Roman" w:hAnsi="Times New Roman" w:cs="Times New Roman"/>
          <w:b/>
          <w:i/>
          <w:sz w:val="28"/>
          <w:szCs w:val="28"/>
        </w:rPr>
        <w:t xml:space="preserve">EL CICLO POLÍTICO  </w:t>
      </w:r>
    </w:p>
    <w:p w:rsidR="00127BFD" w:rsidRPr="00E9240E" w:rsidRDefault="00127BFD" w:rsidP="00127BFD">
      <w:pPr>
        <w:spacing w:line="240" w:lineRule="auto"/>
        <w:jc w:val="center"/>
        <w:rPr>
          <w:rFonts w:ascii="Times New Roman" w:hAnsi="Times New Roman" w:cs="Times New Roman"/>
          <w:b/>
          <w:i/>
          <w:sz w:val="28"/>
          <w:szCs w:val="28"/>
        </w:rPr>
      </w:pPr>
      <w:r w:rsidRPr="00E9240E">
        <w:rPr>
          <w:rFonts w:ascii="Times New Roman" w:hAnsi="Times New Roman" w:cs="Times New Roman"/>
          <w:b/>
          <w:i/>
          <w:sz w:val="28"/>
          <w:szCs w:val="28"/>
        </w:rPr>
        <w:t>Y LA FORMACIÓN DE CAPITAL EN MÉXICO</w:t>
      </w:r>
    </w:p>
    <w:p w:rsidR="00127BFD" w:rsidRPr="00E9240E" w:rsidRDefault="00127BFD" w:rsidP="00127BFD">
      <w:pPr>
        <w:spacing w:line="240" w:lineRule="auto"/>
        <w:jc w:val="center"/>
        <w:rPr>
          <w:rFonts w:ascii="Times New Roman" w:hAnsi="Times New Roman" w:cs="Times New Roman"/>
          <w:b/>
          <w:i/>
          <w:sz w:val="28"/>
          <w:szCs w:val="28"/>
        </w:rPr>
      </w:pPr>
      <w:r w:rsidRPr="00E9240E">
        <w:rPr>
          <w:rFonts w:ascii="Times New Roman" w:hAnsi="Times New Roman" w:cs="Times New Roman"/>
          <w:b/>
          <w:i/>
          <w:sz w:val="28"/>
          <w:szCs w:val="28"/>
        </w:rPr>
        <w:t>1994:01-2015:04</w:t>
      </w:r>
    </w:p>
    <w:p w:rsidR="00EF49CD" w:rsidRPr="00CB5F28" w:rsidRDefault="00EF49CD" w:rsidP="00863D0E">
      <w:pPr>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Un estudio de eventos</w:t>
      </w:r>
    </w:p>
    <w:p w:rsidR="00CB5F28" w:rsidRDefault="00863D0E" w:rsidP="00863D0E">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 xml:space="preserve">Víctor </w:t>
      </w:r>
      <w:proofErr w:type="spellStart"/>
      <w:r>
        <w:rPr>
          <w:rFonts w:ascii="Times New Roman" w:hAnsi="Times New Roman" w:cs="Times New Roman"/>
          <w:sz w:val="24"/>
          <w:szCs w:val="24"/>
        </w:rPr>
        <w:t>Acxel</w:t>
      </w:r>
      <w:proofErr w:type="spellEnd"/>
      <w:r>
        <w:rPr>
          <w:rFonts w:ascii="Times New Roman" w:hAnsi="Times New Roman" w:cs="Times New Roman"/>
          <w:sz w:val="24"/>
          <w:szCs w:val="24"/>
        </w:rPr>
        <w:t xml:space="preserve"> Amarillas Urbina</w:t>
      </w:r>
      <w:r w:rsidR="001F2E25">
        <w:rPr>
          <w:rStyle w:val="Refdenotaalpie"/>
          <w:rFonts w:ascii="Times New Roman" w:hAnsi="Times New Roman" w:cs="Times New Roman"/>
          <w:sz w:val="24"/>
          <w:szCs w:val="24"/>
        </w:rPr>
        <w:footnoteReference w:id="1"/>
      </w:r>
    </w:p>
    <w:p w:rsidR="001F2E25" w:rsidRDefault="008638CC" w:rsidP="00863D0E">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Cesáreo Gámez</w:t>
      </w:r>
      <w:r w:rsidR="00863D0E">
        <w:rPr>
          <w:rStyle w:val="Refdenotaalpie"/>
          <w:rFonts w:ascii="Times New Roman" w:hAnsi="Times New Roman" w:cs="Times New Roman"/>
          <w:sz w:val="24"/>
          <w:szCs w:val="24"/>
        </w:rPr>
        <w:t xml:space="preserve"> </w:t>
      </w:r>
      <w:r w:rsidR="001F2E25">
        <w:rPr>
          <w:rStyle w:val="Refdenotaalpie"/>
          <w:rFonts w:ascii="Times New Roman" w:hAnsi="Times New Roman" w:cs="Times New Roman"/>
          <w:sz w:val="24"/>
          <w:szCs w:val="24"/>
        </w:rPr>
        <w:footnoteReference w:id="2"/>
      </w:r>
    </w:p>
    <w:p w:rsidR="00CB5F28" w:rsidRDefault="00CB5F28" w:rsidP="00863D0E">
      <w:pPr>
        <w:spacing w:before="240" w:line="240" w:lineRule="auto"/>
        <w:rPr>
          <w:rFonts w:ascii="Times New Roman" w:hAnsi="Times New Roman" w:cs="Times New Roman"/>
          <w:sz w:val="24"/>
          <w:szCs w:val="24"/>
        </w:rPr>
      </w:pPr>
    </w:p>
    <w:p w:rsidR="00CB5F28" w:rsidRPr="008D65DD" w:rsidRDefault="008D65DD" w:rsidP="00863D0E">
      <w:pPr>
        <w:spacing w:before="240" w:line="240" w:lineRule="auto"/>
        <w:jc w:val="center"/>
        <w:rPr>
          <w:rFonts w:ascii="Times New Roman" w:hAnsi="Times New Roman" w:cs="Times New Roman"/>
          <w:b/>
          <w:sz w:val="28"/>
          <w:szCs w:val="28"/>
        </w:rPr>
      </w:pPr>
      <w:r w:rsidRPr="008D65DD">
        <w:rPr>
          <w:rFonts w:ascii="Times New Roman" w:hAnsi="Times New Roman" w:cs="Times New Roman"/>
          <w:b/>
          <w:sz w:val="28"/>
          <w:szCs w:val="28"/>
        </w:rPr>
        <w:t>Resumen</w:t>
      </w:r>
    </w:p>
    <w:p w:rsidR="00CB5F28" w:rsidRDefault="00447099" w:rsidP="00A062C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trabajo </w:t>
      </w:r>
      <w:r w:rsidR="00A062CC">
        <w:rPr>
          <w:rFonts w:ascii="Times New Roman" w:hAnsi="Times New Roman" w:cs="Times New Roman"/>
          <w:sz w:val="24"/>
          <w:szCs w:val="24"/>
        </w:rPr>
        <w:t>utiliza el marco conceptual de la teoría de ciclo político económico para analizar</w:t>
      </w:r>
      <w:r>
        <w:rPr>
          <w:rFonts w:ascii="Times New Roman" w:hAnsi="Times New Roman" w:cs="Times New Roman"/>
          <w:sz w:val="24"/>
          <w:szCs w:val="24"/>
        </w:rPr>
        <w:t xml:space="preserve"> el comportamiento de la formación de capital </w:t>
      </w:r>
      <w:r w:rsidR="006A46FC">
        <w:rPr>
          <w:rFonts w:ascii="Times New Roman" w:hAnsi="Times New Roman" w:cs="Times New Roman"/>
          <w:sz w:val="24"/>
          <w:szCs w:val="24"/>
        </w:rPr>
        <w:t xml:space="preserve">total, público y privado </w:t>
      </w:r>
      <w:r>
        <w:rPr>
          <w:rFonts w:ascii="Times New Roman" w:hAnsi="Times New Roman" w:cs="Times New Roman"/>
          <w:sz w:val="24"/>
          <w:szCs w:val="24"/>
        </w:rPr>
        <w:t xml:space="preserve">en México en el periodo </w:t>
      </w:r>
      <w:r w:rsidR="00A062CC">
        <w:rPr>
          <w:rFonts w:ascii="Times New Roman" w:hAnsi="Times New Roman" w:cs="Times New Roman"/>
          <w:sz w:val="24"/>
          <w:szCs w:val="24"/>
        </w:rPr>
        <w:t>1994</w:t>
      </w:r>
      <w:r>
        <w:rPr>
          <w:rFonts w:ascii="Times New Roman" w:hAnsi="Times New Roman" w:cs="Times New Roman"/>
          <w:sz w:val="24"/>
          <w:szCs w:val="24"/>
        </w:rPr>
        <w:t xml:space="preserve">-2015, </w:t>
      </w:r>
      <w:r w:rsidR="00A062CC">
        <w:rPr>
          <w:rFonts w:ascii="Times New Roman" w:hAnsi="Times New Roman" w:cs="Times New Roman"/>
          <w:sz w:val="24"/>
          <w:szCs w:val="24"/>
        </w:rPr>
        <w:t>en el cual tuvieron lugar cuatro cambios de administración presidencial.</w:t>
      </w:r>
      <w:r w:rsidR="006A46FC">
        <w:rPr>
          <w:rFonts w:ascii="Times New Roman" w:hAnsi="Times New Roman" w:cs="Times New Roman"/>
          <w:sz w:val="24"/>
          <w:szCs w:val="24"/>
        </w:rPr>
        <w:t xml:space="preserve"> </w:t>
      </w:r>
      <w:r>
        <w:rPr>
          <w:rFonts w:ascii="Times New Roman" w:hAnsi="Times New Roman" w:cs="Times New Roman"/>
          <w:sz w:val="24"/>
          <w:szCs w:val="24"/>
        </w:rPr>
        <w:t xml:space="preserve">Utilizando la metodología de estudio de eventos, se encuentra que la formación de capital tiende a disminuir en los primeros trimestres de cada administración, lo cual es congruente con lo que pasa en el resto de la economía mexicana. Se comentan algunas conclusiones y se </w:t>
      </w:r>
      <w:r w:rsidR="00A062CC">
        <w:rPr>
          <w:rFonts w:ascii="Times New Roman" w:hAnsi="Times New Roman" w:cs="Times New Roman"/>
          <w:sz w:val="24"/>
          <w:szCs w:val="24"/>
        </w:rPr>
        <w:t>proponen</w:t>
      </w:r>
      <w:r>
        <w:rPr>
          <w:rFonts w:ascii="Times New Roman" w:hAnsi="Times New Roman" w:cs="Times New Roman"/>
          <w:sz w:val="24"/>
          <w:szCs w:val="24"/>
        </w:rPr>
        <w:t xml:space="preserve"> líneas para investigación futura.</w:t>
      </w:r>
    </w:p>
    <w:p w:rsidR="00447099" w:rsidRPr="00E16349" w:rsidRDefault="00447099" w:rsidP="00863D0E">
      <w:pPr>
        <w:spacing w:before="240" w:after="0" w:line="240" w:lineRule="auto"/>
        <w:jc w:val="both"/>
        <w:rPr>
          <w:rFonts w:ascii="Times New Roman" w:hAnsi="Times New Roman" w:cs="Times New Roman"/>
          <w:sz w:val="24"/>
          <w:szCs w:val="24"/>
        </w:rPr>
      </w:pPr>
      <w:r w:rsidRPr="009A4E35">
        <w:rPr>
          <w:rFonts w:ascii="Times New Roman" w:hAnsi="Times New Roman" w:cs="Times New Roman"/>
          <w:b/>
          <w:sz w:val="24"/>
          <w:szCs w:val="24"/>
        </w:rPr>
        <w:t>Palabras clave</w:t>
      </w:r>
      <w:r w:rsidRPr="00E16349">
        <w:rPr>
          <w:rFonts w:ascii="Times New Roman" w:hAnsi="Times New Roman" w:cs="Times New Roman"/>
          <w:sz w:val="24"/>
          <w:szCs w:val="24"/>
        </w:rPr>
        <w:t xml:space="preserve">: </w:t>
      </w:r>
      <w:r>
        <w:rPr>
          <w:rFonts w:ascii="Times New Roman" w:hAnsi="Times New Roman" w:cs="Times New Roman"/>
          <w:sz w:val="24"/>
          <w:szCs w:val="24"/>
        </w:rPr>
        <w:t>C</w:t>
      </w:r>
      <w:r w:rsidRPr="00E16349">
        <w:rPr>
          <w:rFonts w:ascii="Times New Roman" w:hAnsi="Times New Roman" w:cs="Times New Roman"/>
          <w:sz w:val="24"/>
          <w:szCs w:val="24"/>
        </w:rPr>
        <w:t xml:space="preserve">iclo político-económico, </w:t>
      </w:r>
      <w:r>
        <w:rPr>
          <w:rFonts w:ascii="Times New Roman" w:hAnsi="Times New Roman" w:cs="Times New Roman"/>
          <w:sz w:val="24"/>
          <w:szCs w:val="24"/>
        </w:rPr>
        <w:t xml:space="preserve">formación de capital, </w:t>
      </w:r>
      <w:r w:rsidR="008638CC">
        <w:rPr>
          <w:rFonts w:ascii="Times New Roman" w:hAnsi="Times New Roman" w:cs="Times New Roman"/>
          <w:sz w:val="24"/>
          <w:szCs w:val="24"/>
        </w:rPr>
        <w:t>est</w:t>
      </w:r>
      <w:r>
        <w:rPr>
          <w:rFonts w:ascii="Times New Roman" w:hAnsi="Times New Roman" w:cs="Times New Roman"/>
          <w:sz w:val="24"/>
          <w:szCs w:val="24"/>
        </w:rPr>
        <w:t>udio de eventos.</w:t>
      </w:r>
    </w:p>
    <w:p w:rsidR="00447099" w:rsidRDefault="00447099" w:rsidP="00863D0E">
      <w:pPr>
        <w:spacing w:before="240" w:after="0" w:line="240" w:lineRule="auto"/>
        <w:jc w:val="both"/>
        <w:rPr>
          <w:rFonts w:ascii="Times New Roman" w:hAnsi="Times New Roman" w:cs="Times New Roman"/>
          <w:sz w:val="24"/>
          <w:szCs w:val="24"/>
        </w:rPr>
      </w:pPr>
      <w:r w:rsidRPr="009A4E35">
        <w:rPr>
          <w:rFonts w:ascii="Times New Roman" w:hAnsi="Times New Roman" w:cs="Times New Roman"/>
          <w:b/>
          <w:sz w:val="24"/>
          <w:szCs w:val="24"/>
        </w:rPr>
        <w:t>Clasificación JEL</w:t>
      </w:r>
      <w:r w:rsidRPr="00E16349">
        <w:rPr>
          <w:rFonts w:ascii="Times New Roman" w:hAnsi="Times New Roman" w:cs="Times New Roman"/>
          <w:sz w:val="24"/>
          <w:szCs w:val="24"/>
        </w:rPr>
        <w:t>:</w:t>
      </w:r>
      <w:r w:rsidRPr="00E9663B">
        <w:rPr>
          <w:rFonts w:ascii="Times New Roman" w:hAnsi="Times New Roman" w:cs="Times New Roman"/>
          <w:sz w:val="24"/>
          <w:szCs w:val="24"/>
        </w:rPr>
        <w:t xml:space="preserve"> </w:t>
      </w:r>
      <w:r>
        <w:rPr>
          <w:rFonts w:ascii="Times New Roman" w:hAnsi="Times New Roman" w:cs="Times New Roman"/>
          <w:sz w:val="24"/>
          <w:szCs w:val="24"/>
        </w:rPr>
        <w:t xml:space="preserve">C32, E22, E32, H41, H44. </w:t>
      </w:r>
    </w:p>
    <w:p w:rsidR="00447099" w:rsidRDefault="00447099" w:rsidP="00863D0E">
      <w:pPr>
        <w:spacing w:before="240" w:line="240" w:lineRule="auto"/>
        <w:rPr>
          <w:rFonts w:ascii="Times New Roman" w:hAnsi="Times New Roman" w:cs="Times New Roman"/>
          <w:sz w:val="24"/>
          <w:szCs w:val="24"/>
        </w:rPr>
      </w:pPr>
    </w:p>
    <w:p w:rsidR="00447099" w:rsidRDefault="00447099" w:rsidP="00863D0E">
      <w:pPr>
        <w:spacing w:before="240" w:line="240" w:lineRule="auto"/>
        <w:rPr>
          <w:rFonts w:ascii="Times New Roman" w:hAnsi="Times New Roman" w:cs="Times New Roman"/>
          <w:sz w:val="24"/>
          <w:szCs w:val="24"/>
        </w:rPr>
      </w:pPr>
    </w:p>
    <w:p w:rsidR="00447099" w:rsidRDefault="00447099" w:rsidP="00863D0E">
      <w:pPr>
        <w:spacing w:before="240" w:line="240" w:lineRule="auto"/>
        <w:rPr>
          <w:rFonts w:ascii="Times New Roman" w:hAnsi="Times New Roman" w:cs="Times New Roman"/>
          <w:b/>
          <w:sz w:val="28"/>
          <w:szCs w:val="28"/>
        </w:rPr>
      </w:pPr>
    </w:p>
    <w:p w:rsidR="00CB5F28" w:rsidRPr="008D65DD" w:rsidRDefault="008D65DD" w:rsidP="00863D0E">
      <w:pPr>
        <w:spacing w:before="240" w:line="240" w:lineRule="auto"/>
        <w:rPr>
          <w:rFonts w:ascii="Times New Roman" w:hAnsi="Times New Roman" w:cs="Times New Roman"/>
          <w:b/>
          <w:sz w:val="28"/>
          <w:szCs w:val="28"/>
        </w:rPr>
      </w:pPr>
      <w:bookmarkStart w:id="0" w:name="_GoBack"/>
      <w:bookmarkEnd w:id="0"/>
      <w:r w:rsidRPr="008D65DD">
        <w:rPr>
          <w:rFonts w:ascii="Times New Roman" w:hAnsi="Times New Roman" w:cs="Times New Roman"/>
          <w:b/>
          <w:sz w:val="28"/>
          <w:szCs w:val="28"/>
        </w:rPr>
        <w:lastRenderedPageBreak/>
        <w:t>Introducción</w:t>
      </w:r>
    </w:p>
    <w:p w:rsidR="00EF49CD" w:rsidRDefault="00EF49CD" w:rsidP="00EF49CD">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El presente trabajo examina los efectos de la transición presidencial en la formación de capital en el periodo 1994-2015, incorporando al análisis el último cambio de administración presidencial, en 2012-2013.</w:t>
      </w:r>
    </w:p>
    <w:p w:rsidR="00CB5F28" w:rsidRDefault="001C1227" w:rsidP="00634BB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La relación entre el ciclo político y la formación de capital en México ha sido abordada en estudios anteriores. Gámez (2012ª) estudió esta relación en el periodo de 1981 a 2010, encontrando que en los primeros trimestres de cada administración presidencial se registra una desaceleración (o disminución) en la tasa de formación de capital.</w:t>
      </w:r>
    </w:p>
    <w:p w:rsidR="001C1227" w:rsidRDefault="001C1227" w:rsidP="00634BB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Además, se utiliza una nueva base de datos que incluye la formación de capital por tipo de bien y comprador, que se encuentra disponible desde el primer trimestre de 1</w:t>
      </w:r>
      <w:r w:rsidR="00B65DC2">
        <w:rPr>
          <w:rFonts w:ascii="Times New Roman" w:hAnsi="Times New Roman" w:cs="Times New Roman"/>
          <w:sz w:val="24"/>
          <w:szCs w:val="24"/>
        </w:rPr>
        <w:t>99</w:t>
      </w:r>
      <w:r>
        <w:rPr>
          <w:rFonts w:ascii="Times New Roman" w:hAnsi="Times New Roman" w:cs="Times New Roman"/>
          <w:sz w:val="24"/>
          <w:szCs w:val="24"/>
        </w:rPr>
        <w:t>3 a la fecha.</w:t>
      </w:r>
    </w:p>
    <w:p w:rsidR="00EF49CD" w:rsidRDefault="00EF49CD" w:rsidP="00634BB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Se confirma la desaceleración en la formación de capital en inicio de cada sexenio, utilizando la metodología de estudio de eventos. La desaceleración es más fuerte en la formación de capital realizada por el sector privado que en el sector público.</w:t>
      </w:r>
    </w:p>
    <w:p w:rsidR="00EF49CD" w:rsidRDefault="00EF49CD" w:rsidP="00634BB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El trabajo se presenta en seis apartados. En el primero se examinan los antecedentes, y los lineamientos generales de la teoría del ciclo político económico, el segundo ofrece una revisión de la evidencia empírica, con especial relevancia en países emergentes y en las “nuevas democracias”.</w:t>
      </w:r>
    </w:p>
    <w:p w:rsidR="00634BBC" w:rsidRDefault="00EF49CD" w:rsidP="00634BB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El tercer apartado examina los diversos </w:t>
      </w:r>
      <w:r w:rsidR="00634BBC">
        <w:rPr>
          <w:rFonts w:ascii="Times New Roman" w:hAnsi="Times New Roman" w:cs="Times New Roman"/>
          <w:sz w:val="24"/>
          <w:szCs w:val="24"/>
        </w:rPr>
        <w:t>trabajos relativos al ciclo polí</w:t>
      </w:r>
      <w:r>
        <w:rPr>
          <w:rFonts w:ascii="Times New Roman" w:hAnsi="Times New Roman" w:cs="Times New Roman"/>
          <w:sz w:val="24"/>
          <w:szCs w:val="24"/>
        </w:rPr>
        <w:t>ti</w:t>
      </w:r>
      <w:r w:rsidR="00634BBC">
        <w:rPr>
          <w:rFonts w:ascii="Times New Roman" w:hAnsi="Times New Roman" w:cs="Times New Roman"/>
          <w:sz w:val="24"/>
          <w:szCs w:val="24"/>
        </w:rPr>
        <w:t>c</w:t>
      </w:r>
      <w:r>
        <w:rPr>
          <w:rFonts w:ascii="Times New Roman" w:hAnsi="Times New Roman" w:cs="Times New Roman"/>
          <w:sz w:val="24"/>
          <w:szCs w:val="24"/>
        </w:rPr>
        <w:t>o económico en México, el cuarto apartado presenta las estadísticas usadas en el estudio, así como sus estadísticas descriptivas</w:t>
      </w:r>
      <w:r w:rsidR="00634BBC">
        <w:rPr>
          <w:rFonts w:ascii="Times New Roman" w:hAnsi="Times New Roman" w:cs="Times New Roman"/>
          <w:sz w:val="24"/>
          <w:szCs w:val="24"/>
        </w:rPr>
        <w:t xml:space="preserve">. </w:t>
      </w:r>
    </w:p>
    <w:p w:rsidR="00EF49CD" w:rsidRDefault="00634BBC" w:rsidP="00634BB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En el quinto apartado se presenta una introducción metodológica del estudio de eventos y as estimaciones realizadas con esta metodología. Finalmente, se delinean algunas conclusiones y se sugieren líneas para investigación futura.</w:t>
      </w:r>
    </w:p>
    <w:p w:rsidR="00634BBC" w:rsidRDefault="00634BBC" w:rsidP="00863D0E">
      <w:pPr>
        <w:spacing w:before="240" w:line="240" w:lineRule="auto"/>
        <w:rPr>
          <w:rFonts w:ascii="Times New Roman" w:hAnsi="Times New Roman" w:cs="Times New Roman"/>
          <w:sz w:val="24"/>
          <w:szCs w:val="24"/>
        </w:rPr>
      </w:pPr>
    </w:p>
    <w:p w:rsidR="005D2075" w:rsidRPr="00B20EF1" w:rsidRDefault="008D65DD" w:rsidP="00634BBC">
      <w:pPr>
        <w:spacing w:before="240" w:line="240" w:lineRule="auto"/>
        <w:rPr>
          <w:rFonts w:ascii="Times New Roman" w:hAnsi="Times New Roman"/>
          <w:b/>
          <w:bCs/>
          <w:sz w:val="28"/>
          <w:szCs w:val="28"/>
          <w:lang w:val="pt-BR"/>
        </w:rPr>
      </w:pPr>
      <w:proofErr w:type="gramStart"/>
      <w:r>
        <w:rPr>
          <w:rFonts w:ascii="Times New Roman" w:hAnsi="Times New Roman"/>
          <w:b/>
          <w:bCs/>
          <w:sz w:val="28"/>
          <w:szCs w:val="28"/>
          <w:lang w:val="pt-BR"/>
        </w:rPr>
        <w:t>1.</w:t>
      </w:r>
      <w:proofErr w:type="gramEnd"/>
      <w:r>
        <w:rPr>
          <w:rFonts w:ascii="Times New Roman" w:hAnsi="Times New Roman"/>
          <w:b/>
          <w:bCs/>
          <w:sz w:val="28"/>
          <w:szCs w:val="28"/>
          <w:lang w:val="pt-BR"/>
        </w:rPr>
        <w:t xml:space="preserve">- </w:t>
      </w:r>
      <w:r w:rsidR="005D2075" w:rsidRPr="00B20EF1">
        <w:rPr>
          <w:rFonts w:ascii="Times New Roman" w:hAnsi="Times New Roman"/>
          <w:b/>
          <w:bCs/>
          <w:sz w:val="28"/>
          <w:szCs w:val="28"/>
          <w:lang w:val="pt-BR"/>
        </w:rPr>
        <w:t>Antecedentes</w:t>
      </w:r>
    </w:p>
    <w:p w:rsidR="005D2075" w:rsidRPr="00271480" w:rsidRDefault="005D2075" w:rsidP="00863D0E">
      <w:pPr>
        <w:spacing w:before="240" w:line="240" w:lineRule="auto"/>
        <w:rPr>
          <w:rFonts w:ascii="Times New Roman" w:hAnsi="Times New Roman"/>
          <w:bCs/>
          <w:sz w:val="24"/>
          <w:szCs w:val="24"/>
        </w:rPr>
      </w:pPr>
      <w:r w:rsidRPr="00271480">
        <w:rPr>
          <w:rFonts w:ascii="Times New Roman" w:hAnsi="Times New Roman"/>
          <w:bCs/>
          <w:sz w:val="24"/>
          <w:szCs w:val="24"/>
          <w:lang w:val="pt-BR"/>
        </w:rPr>
        <w:tab/>
      </w:r>
      <w:r w:rsidRPr="00271480">
        <w:rPr>
          <w:rFonts w:ascii="Times New Roman" w:hAnsi="Times New Roman"/>
          <w:bCs/>
          <w:sz w:val="24"/>
          <w:szCs w:val="24"/>
        </w:rPr>
        <w:t>El análisis realizado en este trabajo se basa en la teoría del ciclo político económico</w:t>
      </w:r>
      <w:r w:rsidR="004C5375">
        <w:rPr>
          <w:rFonts w:ascii="Times New Roman" w:hAnsi="Times New Roman"/>
          <w:bCs/>
          <w:sz w:val="24"/>
          <w:szCs w:val="24"/>
        </w:rPr>
        <w:t xml:space="preserve"> (CPE)</w:t>
      </w:r>
      <w:r w:rsidRPr="00271480">
        <w:rPr>
          <w:rFonts w:ascii="Times New Roman" w:hAnsi="Times New Roman"/>
          <w:bCs/>
          <w:sz w:val="24"/>
          <w:szCs w:val="24"/>
        </w:rPr>
        <w:t>. Esta es una corriente relativamente reciente de la literatura económica, que se inició a mediados de la década de los 70´s y se ha mantenido y desarrollado hasta el presente, con especial énfasis en las llamadas “nuevas democracias</w:t>
      </w:r>
      <w:r w:rsidR="00CD5784">
        <w:rPr>
          <w:rFonts w:ascii="Times New Roman" w:hAnsi="Times New Roman"/>
          <w:bCs/>
          <w:sz w:val="24"/>
          <w:szCs w:val="24"/>
        </w:rPr>
        <w:t>”</w:t>
      </w:r>
      <w:r w:rsidR="00B656CB">
        <w:rPr>
          <w:rFonts w:ascii="Times New Roman" w:hAnsi="Times New Roman"/>
          <w:bCs/>
          <w:sz w:val="24"/>
          <w:szCs w:val="24"/>
        </w:rPr>
        <w:t xml:space="preserve"> (</w:t>
      </w:r>
      <w:proofErr w:type="spellStart"/>
      <w:r w:rsidR="00B656CB">
        <w:rPr>
          <w:rFonts w:ascii="Times New Roman" w:hAnsi="Times New Roman"/>
          <w:bCs/>
          <w:sz w:val="24"/>
          <w:szCs w:val="24"/>
        </w:rPr>
        <w:t>Brender</w:t>
      </w:r>
      <w:proofErr w:type="spellEnd"/>
      <w:r w:rsidR="00B656CB">
        <w:rPr>
          <w:rFonts w:ascii="Times New Roman" w:hAnsi="Times New Roman"/>
          <w:bCs/>
          <w:sz w:val="24"/>
          <w:szCs w:val="24"/>
        </w:rPr>
        <w:t xml:space="preserve"> y </w:t>
      </w:r>
      <w:proofErr w:type="spellStart"/>
      <w:r w:rsidR="00B656CB">
        <w:rPr>
          <w:rFonts w:ascii="Times New Roman" w:hAnsi="Times New Roman"/>
          <w:bCs/>
          <w:sz w:val="24"/>
          <w:szCs w:val="24"/>
        </w:rPr>
        <w:t>Drazen</w:t>
      </w:r>
      <w:proofErr w:type="spellEnd"/>
      <w:r w:rsidR="00B656CB">
        <w:rPr>
          <w:rFonts w:ascii="Times New Roman" w:hAnsi="Times New Roman"/>
          <w:bCs/>
          <w:sz w:val="24"/>
          <w:szCs w:val="24"/>
        </w:rPr>
        <w:t>, 2003)</w:t>
      </w:r>
      <w:r w:rsidRPr="00271480">
        <w:rPr>
          <w:rFonts w:ascii="Times New Roman" w:hAnsi="Times New Roman"/>
          <w:bCs/>
          <w:sz w:val="24"/>
          <w:szCs w:val="24"/>
        </w:rPr>
        <w:t>.</w:t>
      </w:r>
    </w:p>
    <w:p w:rsidR="005D2075" w:rsidRPr="00271480" w:rsidRDefault="005D2075" w:rsidP="00863D0E">
      <w:pPr>
        <w:spacing w:before="240" w:line="240" w:lineRule="auto"/>
        <w:rPr>
          <w:rFonts w:ascii="Times New Roman" w:hAnsi="Times New Roman"/>
          <w:bCs/>
          <w:sz w:val="24"/>
          <w:szCs w:val="24"/>
        </w:rPr>
      </w:pPr>
      <w:r w:rsidRPr="00271480">
        <w:rPr>
          <w:rFonts w:ascii="Times New Roman" w:hAnsi="Times New Roman"/>
          <w:bCs/>
          <w:sz w:val="24"/>
          <w:szCs w:val="24"/>
        </w:rPr>
        <w:tab/>
        <w:t xml:space="preserve">La teoría del CPE se inició con el artículo seminal de </w:t>
      </w:r>
      <w:proofErr w:type="spellStart"/>
      <w:r w:rsidRPr="00271480">
        <w:rPr>
          <w:rFonts w:ascii="Times New Roman" w:hAnsi="Times New Roman"/>
          <w:bCs/>
          <w:sz w:val="24"/>
          <w:szCs w:val="24"/>
        </w:rPr>
        <w:t>Nordhaus</w:t>
      </w:r>
      <w:proofErr w:type="spellEnd"/>
      <w:r w:rsidRPr="00271480">
        <w:rPr>
          <w:rFonts w:ascii="Times New Roman" w:hAnsi="Times New Roman"/>
          <w:bCs/>
          <w:sz w:val="24"/>
          <w:szCs w:val="24"/>
        </w:rPr>
        <w:t xml:space="preserve"> (1975), en el cual se establecen los supuestos básicos sobre la conducta de los agentes involucrados que, con algunas variantes, se mantienen hasta el presente.</w:t>
      </w:r>
    </w:p>
    <w:p w:rsidR="00DB31EF" w:rsidRDefault="005D2075" w:rsidP="00863D0E">
      <w:pPr>
        <w:spacing w:before="240" w:line="240" w:lineRule="auto"/>
        <w:rPr>
          <w:rFonts w:ascii="Times New Roman" w:hAnsi="Times New Roman"/>
          <w:bCs/>
          <w:sz w:val="24"/>
          <w:szCs w:val="24"/>
        </w:rPr>
      </w:pPr>
      <w:r w:rsidRPr="00271480">
        <w:rPr>
          <w:rFonts w:ascii="Times New Roman" w:hAnsi="Times New Roman"/>
          <w:bCs/>
          <w:sz w:val="24"/>
          <w:szCs w:val="24"/>
        </w:rPr>
        <w:tab/>
      </w:r>
      <w:r>
        <w:rPr>
          <w:rFonts w:ascii="Times New Roman" w:hAnsi="Times New Roman"/>
          <w:bCs/>
          <w:sz w:val="24"/>
          <w:szCs w:val="24"/>
        </w:rPr>
        <w:t>Este modelo establece que los gobiernos</w:t>
      </w:r>
      <w:r w:rsidRPr="00271480">
        <w:rPr>
          <w:rFonts w:ascii="Times New Roman" w:hAnsi="Times New Roman"/>
          <w:bCs/>
          <w:sz w:val="24"/>
          <w:szCs w:val="24"/>
        </w:rPr>
        <w:t xml:space="preserve"> tienen un poderoso incentivo para mejorar, aun en forma artificial, las condiciones económicas en el periodo anterior a las elecciones, </w:t>
      </w:r>
      <w:r w:rsidRPr="00271480">
        <w:rPr>
          <w:rFonts w:ascii="Times New Roman" w:hAnsi="Times New Roman"/>
          <w:bCs/>
          <w:sz w:val="24"/>
          <w:szCs w:val="24"/>
        </w:rPr>
        <w:lastRenderedPageBreak/>
        <w:t xml:space="preserve">para de esta manera influir sobre la percepción de los votantes y aumentar las </w:t>
      </w:r>
      <w:r>
        <w:rPr>
          <w:rFonts w:ascii="Times New Roman" w:hAnsi="Times New Roman"/>
          <w:bCs/>
          <w:sz w:val="24"/>
          <w:szCs w:val="24"/>
        </w:rPr>
        <w:t>p</w:t>
      </w:r>
      <w:r w:rsidRPr="00271480">
        <w:rPr>
          <w:rFonts w:ascii="Times New Roman" w:hAnsi="Times New Roman"/>
          <w:bCs/>
          <w:sz w:val="24"/>
          <w:szCs w:val="24"/>
        </w:rPr>
        <w:t xml:space="preserve">robabilidades de victoria en los comicios. </w:t>
      </w:r>
    </w:p>
    <w:p w:rsidR="005D2075" w:rsidRPr="00271480" w:rsidRDefault="005D2075" w:rsidP="00DB31EF">
      <w:pPr>
        <w:spacing w:before="240" w:line="240" w:lineRule="auto"/>
        <w:ind w:firstLine="708"/>
        <w:rPr>
          <w:rFonts w:ascii="Times New Roman" w:hAnsi="Times New Roman"/>
          <w:bCs/>
          <w:sz w:val="24"/>
          <w:szCs w:val="24"/>
        </w:rPr>
      </w:pPr>
      <w:r>
        <w:rPr>
          <w:rFonts w:ascii="Times New Roman" w:hAnsi="Times New Roman"/>
          <w:bCs/>
          <w:sz w:val="24"/>
          <w:szCs w:val="24"/>
        </w:rPr>
        <w:t>Estas</w:t>
      </w:r>
      <w:r w:rsidRPr="00271480">
        <w:rPr>
          <w:rFonts w:ascii="Times New Roman" w:hAnsi="Times New Roman"/>
          <w:bCs/>
          <w:sz w:val="24"/>
          <w:szCs w:val="24"/>
        </w:rPr>
        <w:t xml:space="preserve"> expansiones provocan desajustes en diversas variables económicas, mismos que tienen que corregirse en los primeros meses de la administración entrante, lo cual suele provocar una desaceleración de la actividad económica.  </w:t>
      </w:r>
      <w:r>
        <w:rPr>
          <w:rFonts w:ascii="Times New Roman" w:hAnsi="Times New Roman"/>
          <w:bCs/>
          <w:sz w:val="24"/>
          <w:szCs w:val="24"/>
        </w:rPr>
        <w:t>Las</w:t>
      </w:r>
      <w:r w:rsidRPr="00271480">
        <w:rPr>
          <w:rFonts w:ascii="Times New Roman" w:hAnsi="Times New Roman"/>
          <w:bCs/>
          <w:sz w:val="24"/>
          <w:szCs w:val="24"/>
        </w:rPr>
        <w:t xml:space="preserve"> expansiones en años electorales, con la consecuente desaceleración después de las elecciones, son las que dan lugar al llamado ciclo político económico.</w:t>
      </w:r>
    </w:p>
    <w:p w:rsidR="005D2075" w:rsidRDefault="005D2075" w:rsidP="00863D0E">
      <w:pPr>
        <w:pStyle w:val="Textoindependiente2"/>
        <w:spacing w:before="240" w:after="200" w:line="240" w:lineRule="auto"/>
      </w:pPr>
      <w:r w:rsidRPr="00271480">
        <w:tab/>
        <w:t>La literatura sobre el ciclo político se desarrolló en dos vertientes, una de ellas enfatiza la conducta “oportunista” de los gobiernos, suponiendo que los políticos no tienen preferencias propias, simplemente permanecer en el poder</w:t>
      </w:r>
      <w:r>
        <w:t>.</w:t>
      </w:r>
    </w:p>
    <w:p w:rsidR="005D2075" w:rsidRPr="00271480" w:rsidRDefault="005D2075" w:rsidP="00863D0E">
      <w:pPr>
        <w:pStyle w:val="Textoindependiente2"/>
        <w:spacing w:before="240" w:after="200" w:line="240" w:lineRule="auto"/>
        <w:ind w:firstLine="708"/>
      </w:pPr>
      <w:r>
        <w:t>L</w:t>
      </w:r>
      <w:r w:rsidRPr="00271480">
        <w:t>a otra vertiente, conocida como “partidaria”  o ideológica (</w:t>
      </w:r>
      <w:proofErr w:type="spellStart"/>
      <w:r w:rsidRPr="00271480">
        <w:rPr>
          <w:i/>
        </w:rPr>
        <w:t>partisan</w:t>
      </w:r>
      <w:proofErr w:type="spellEnd"/>
      <w:r w:rsidRPr="00271480">
        <w:t>, en la literatura en inglés) enfatiza que los gobiernos de izquierda tienen ciertas preferencias en materia económica (alto crecimiento y bajo desempleo), mientras que los gobiernos de derecha prefieren la estabilidad de la economía, entendida como bajos niveles de inflación y tasas de interés (</w:t>
      </w:r>
      <w:proofErr w:type="spellStart"/>
      <w:r w:rsidRPr="00271480">
        <w:t>Alesina</w:t>
      </w:r>
      <w:proofErr w:type="spellEnd"/>
      <w:r w:rsidRPr="00271480">
        <w:t xml:space="preserve"> et. al. 1999).</w:t>
      </w:r>
    </w:p>
    <w:p w:rsidR="005D2075" w:rsidRPr="00271480" w:rsidRDefault="005D2075" w:rsidP="00863D0E">
      <w:pPr>
        <w:spacing w:before="240" w:line="240" w:lineRule="auto"/>
        <w:rPr>
          <w:rFonts w:ascii="Times New Roman" w:hAnsi="Times New Roman"/>
          <w:sz w:val="24"/>
          <w:szCs w:val="24"/>
        </w:rPr>
      </w:pPr>
      <w:r w:rsidRPr="00271480">
        <w:rPr>
          <w:rFonts w:ascii="Times New Roman" w:hAnsi="Times New Roman"/>
          <w:sz w:val="24"/>
          <w:szCs w:val="24"/>
        </w:rPr>
        <w:tab/>
        <w:t>Con el transcurso del tiempo se fueron haciendo evidentes algunas limitaciones de los modelos tradicionales de ciclo político económico y, en consecuencia, surgieron modificaciones tanto en el objeto de estudio como en la metodología apropiada para la investigación empírica de este fenómeno.</w:t>
      </w:r>
    </w:p>
    <w:p w:rsidR="005D2075" w:rsidRPr="00271480" w:rsidRDefault="005D2075" w:rsidP="00863D0E">
      <w:pPr>
        <w:spacing w:before="240" w:line="240" w:lineRule="auto"/>
        <w:ind w:firstLine="708"/>
        <w:rPr>
          <w:rFonts w:ascii="Times New Roman" w:hAnsi="Times New Roman"/>
          <w:sz w:val="24"/>
          <w:szCs w:val="24"/>
        </w:rPr>
      </w:pPr>
      <w:r w:rsidRPr="00271480">
        <w:rPr>
          <w:rFonts w:ascii="Times New Roman" w:hAnsi="Times New Roman"/>
          <w:sz w:val="24"/>
          <w:szCs w:val="24"/>
        </w:rPr>
        <w:t>Una de estas modificaciones fue el cambio de análisis de las llamadas variables resultado, como la inflación, el crecimiento del PIB y el desempleo a las llamadas variables instrumento, como serían los instrumentos de política monetaria (masa monetaria, tasas de interés), política fiscal (impuestos y gasto público) y política cambiaria (manejo del tipo de cambio).</w:t>
      </w:r>
    </w:p>
    <w:p w:rsidR="005D2075" w:rsidRPr="00271480" w:rsidRDefault="005D2075" w:rsidP="00863D0E">
      <w:pPr>
        <w:spacing w:before="240" w:line="240" w:lineRule="auto"/>
        <w:ind w:firstLine="708"/>
        <w:rPr>
          <w:rFonts w:ascii="Times New Roman" w:hAnsi="Times New Roman"/>
          <w:sz w:val="24"/>
          <w:szCs w:val="24"/>
        </w:rPr>
      </w:pPr>
      <w:r w:rsidRPr="00271480">
        <w:rPr>
          <w:rFonts w:ascii="Times New Roman" w:hAnsi="Times New Roman"/>
          <w:sz w:val="24"/>
          <w:szCs w:val="24"/>
        </w:rPr>
        <w:t xml:space="preserve">Concretamente, el estudio sobre la relación del ciclo político y las variables de política fiscal dio origen a un subconjunto, dentro de la corriente general del </w:t>
      </w:r>
      <w:r>
        <w:rPr>
          <w:rFonts w:ascii="Times New Roman" w:hAnsi="Times New Roman"/>
          <w:sz w:val="24"/>
          <w:szCs w:val="24"/>
        </w:rPr>
        <w:t>CPE</w:t>
      </w:r>
      <w:r w:rsidRPr="00271480">
        <w:rPr>
          <w:rFonts w:ascii="Times New Roman" w:hAnsi="Times New Roman"/>
          <w:sz w:val="24"/>
          <w:szCs w:val="24"/>
        </w:rPr>
        <w:t>, el llamado ciclo político presupuestal (</w:t>
      </w:r>
      <w:proofErr w:type="spellStart"/>
      <w:r w:rsidRPr="00271480">
        <w:rPr>
          <w:rFonts w:ascii="Times New Roman" w:hAnsi="Times New Roman"/>
          <w:i/>
          <w:sz w:val="24"/>
          <w:szCs w:val="24"/>
        </w:rPr>
        <w:t>political</w:t>
      </w:r>
      <w:proofErr w:type="spellEnd"/>
      <w:r w:rsidRPr="00271480">
        <w:rPr>
          <w:rFonts w:ascii="Times New Roman" w:hAnsi="Times New Roman"/>
          <w:i/>
          <w:sz w:val="24"/>
          <w:szCs w:val="24"/>
        </w:rPr>
        <w:t xml:space="preserve"> </w:t>
      </w:r>
      <w:proofErr w:type="spellStart"/>
      <w:r w:rsidRPr="00271480">
        <w:rPr>
          <w:rFonts w:ascii="Times New Roman" w:hAnsi="Times New Roman"/>
          <w:i/>
          <w:sz w:val="24"/>
          <w:szCs w:val="24"/>
        </w:rPr>
        <w:t>budget</w:t>
      </w:r>
      <w:proofErr w:type="spellEnd"/>
      <w:r w:rsidRPr="00271480">
        <w:rPr>
          <w:rFonts w:ascii="Times New Roman" w:hAnsi="Times New Roman"/>
          <w:i/>
          <w:sz w:val="24"/>
          <w:szCs w:val="24"/>
        </w:rPr>
        <w:t xml:space="preserve"> </w:t>
      </w:r>
      <w:proofErr w:type="spellStart"/>
      <w:r w:rsidRPr="00271480">
        <w:rPr>
          <w:rFonts w:ascii="Times New Roman" w:hAnsi="Times New Roman"/>
          <w:i/>
          <w:sz w:val="24"/>
          <w:szCs w:val="24"/>
        </w:rPr>
        <w:t>cycle</w:t>
      </w:r>
      <w:proofErr w:type="spellEnd"/>
      <w:r w:rsidRPr="00271480">
        <w:rPr>
          <w:rFonts w:ascii="Times New Roman" w:hAnsi="Times New Roman"/>
          <w:sz w:val="24"/>
          <w:szCs w:val="24"/>
        </w:rPr>
        <w:t>).</w:t>
      </w:r>
    </w:p>
    <w:p w:rsidR="005D2075" w:rsidRDefault="005D2075" w:rsidP="00863D0E">
      <w:pPr>
        <w:pStyle w:val="Sangra3detindependiente"/>
        <w:spacing w:before="240" w:after="200" w:line="240" w:lineRule="auto"/>
        <w:ind w:left="0" w:firstLine="709"/>
        <w:rPr>
          <w:rFonts w:ascii="Times New Roman" w:hAnsi="Times New Roman"/>
          <w:sz w:val="24"/>
          <w:szCs w:val="24"/>
        </w:rPr>
      </w:pPr>
      <w:r w:rsidRPr="00271480">
        <w:rPr>
          <w:rFonts w:ascii="Times New Roman" w:hAnsi="Times New Roman"/>
          <w:sz w:val="24"/>
          <w:szCs w:val="24"/>
          <w:lang w:val="es-ES"/>
        </w:rPr>
        <w:t>E</w:t>
      </w:r>
      <w:r w:rsidRPr="00271480">
        <w:rPr>
          <w:rFonts w:ascii="Times New Roman" w:hAnsi="Times New Roman"/>
          <w:sz w:val="24"/>
          <w:szCs w:val="24"/>
        </w:rPr>
        <w:t xml:space="preserve">l ciclo político presupuestal (CPP), enfatiza la manipulación de instrumentos de política fiscal, como impuestos, transferencias y gasto público, como el vehículo a través del cual gobernantes oportunistas pretenden influir en las preferencias del público y de esa manera incrementar las probabilidades de victoria electoral. </w:t>
      </w:r>
    </w:p>
    <w:p w:rsidR="005D2075" w:rsidRPr="00271480" w:rsidRDefault="005D2075" w:rsidP="00863D0E">
      <w:pPr>
        <w:spacing w:before="240" w:line="240" w:lineRule="auto"/>
        <w:ind w:firstLine="709"/>
        <w:rPr>
          <w:rFonts w:ascii="Times New Roman" w:hAnsi="Times New Roman"/>
          <w:sz w:val="24"/>
          <w:szCs w:val="24"/>
        </w:rPr>
      </w:pPr>
      <w:proofErr w:type="spellStart"/>
      <w:r w:rsidRPr="00271480">
        <w:rPr>
          <w:rFonts w:ascii="Times New Roman" w:hAnsi="Times New Roman"/>
          <w:sz w:val="24"/>
          <w:szCs w:val="24"/>
        </w:rPr>
        <w:t>Drazen</w:t>
      </w:r>
      <w:proofErr w:type="spellEnd"/>
      <w:r w:rsidRPr="00271480">
        <w:rPr>
          <w:rFonts w:ascii="Times New Roman" w:hAnsi="Times New Roman"/>
          <w:sz w:val="24"/>
          <w:szCs w:val="24"/>
        </w:rPr>
        <w:t xml:space="preserve"> (2000) propone un modelo que combina una política fiscal activa con política monetaria pasiva al que denomina modelo AFPM, que supera algunas de las limitaciones de modelos anteriores. Enfatiza además la importancia del CPP en países emergentes, en especial en las llamadas “nuevas democracias” como los países que surgieron del desmembramiento de </w:t>
      </w:r>
      <w:smartTag w:uri="urn:schemas-microsoft-com:office:smarttags" w:element="PersonName">
        <w:smartTagPr>
          <w:attr w:name="ProductID" w:val="la Uni￳n Sovi￩tica"/>
        </w:smartTagPr>
        <w:r w:rsidRPr="00271480">
          <w:rPr>
            <w:rFonts w:ascii="Times New Roman" w:hAnsi="Times New Roman"/>
            <w:sz w:val="24"/>
            <w:szCs w:val="24"/>
          </w:rPr>
          <w:t>la Unión Soviética</w:t>
        </w:r>
      </w:smartTag>
      <w:r w:rsidRPr="00271480">
        <w:rPr>
          <w:rFonts w:ascii="Times New Roman" w:hAnsi="Times New Roman"/>
          <w:sz w:val="24"/>
          <w:szCs w:val="24"/>
        </w:rPr>
        <w:t>, o antiguas dictaduras militares.</w:t>
      </w:r>
    </w:p>
    <w:p w:rsidR="005D2075" w:rsidRPr="00271480" w:rsidRDefault="005D2075" w:rsidP="00863D0E">
      <w:pPr>
        <w:spacing w:before="240" w:line="240" w:lineRule="auto"/>
        <w:ind w:firstLine="708"/>
        <w:rPr>
          <w:rFonts w:ascii="Times New Roman" w:hAnsi="Times New Roman"/>
          <w:sz w:val="24"/>
          <w:szCs w:val="24"/>
        </w:rPr>
      </w:pPr>
      <w:r w:rsidRPr="00271480">
        <w:rPr>
          <w:rFonts w:ascii="Times New Roman" w:hAnsi="Times New Roman"/>
          <w:sz w:val="24"/>
          <w:szCs w:val="24"/>
        </w:rPr>
        <w:t xml:space="preserve">En estos países, los electores disponen de información limitada y distribuida de manera asimétrica, además que tienen poca experiencia en los procesos y decisiones </w:t>
      </w:r>
      <w:r w:rsidRPr="00271480">
        <w:rPr>
          <w:rFonts w:ascii="Times New Roman" w:hAnsi="Times New Roman"/>
          <w:sz w:val="24"/>
          <w:szCs w:val="24"/>
        </w:rPr>
        <w:lastRenderedPageBreak/>
        <w:t xml:space="preserve">democráticas. Estas circunstancias ofrecen un contexto altamente propicio para la adopción de políticas oportunistas por parte de los gobernantes. </w:t>
      </w:r>
    </w:p>
    <w:p w:rsidR="005D2075" w:rsidRPr="00271480" w:rsidRDefault="005D2075" w:rsidP="00863D0E">
      <w:pPr>
        <w:spacing w:before="240" w:line="240" w:lineRule="auto"/>
        <w:rPr>
          <w:rFonts w:ascii="Times New Roman" w:hAnsi="Times New Roman"/>
          <w:sz w:val="24"/>
          <w:szCs w:val="24"/>
        </w:rPr>
      </w:pPr>
      <w:r w:rsidRPr="00271480">
        <w:rPr>
          <w:rFonts w:ascii="Times New Roman" w:hAnsi="Times New Roman"/>
          <w:sz w:val="24"/>
          <w:szCs w:val="24"/>
        </w:rPr>
        <w:tab/>
      </w:r>
      <w:proofErr w:type="spellStart"/>
      <w:r w:rsidRPr="00271480">
        <w:rPr>
          <w:rFonts w:ascii="Times New Roman" w:hAnsi="Times New Roman"/>
          <w:sz w:val="24"/>
          <w:szCs w:val="24"/>
        </w:rPr>
        <w:t>Shucknecht</w:t>
      </w:r>
      <w:proofErr w:type="spellEnd"/>
      <w:r w:rsidRPr="00271480">
        <w:rPr>
          <w:rFonts w:ascii="Times New Roman" w:hAnsi="Times New Roman"/>
          <w:sz w:val="24"/>
          <w:szCs w:val="24"/>
        </w:rPr>
        <w:t xml:space="preserve"> (1996) señala que en los países emergentes es más factible la presencia de  conductas oportunistas debido a que los sistemas institucionales de pesos y contrapesos son más débiles y los gobiernos tienen un mayor poder discrecional sobre los instrumentos fiscales. </w:t>
      </w:r>
    </w:p>
    <w:p w:rsidR="005D2075" w:rsidRPr="00271480" w:rsidRDefault="005D2075" w:rsidP="00863D0E">
      <w:pPr>
        <w:spacing w:before="240" w:line="240" w:lineRule="auto"/>
        <w:rPr>
          <w:rFonts w:ascii="Times New Roman" w:hAnsi="Times New Roman"/>
          <w:b/>
          <w:sz w:val="24"/>
          <w:szCs w:val="24"/>
        </w:rPr>
      </w:pPr>
    </w:p>
    <w:p w:rsidR="005D2075" w:rsidRPr="00B20EF1" w:rsidRDefault="008D65DD" w:rsidP="00863D0E">
      <w:pPr>
        <w:spacing w:before="240" w:line="240" w:lineRule="auto"/>
        <w:rPr>
          <w:rFonts w:ascii="Times New Roman" w:hAnsi="Times New Roman"/>
          <w:b/>
          <w:sz w:val="28"/>
          <w:szCs w:val="28"/>
        </w:rPr>
      </w:pPr>
      <w:r>
        <w:rPr>
          <w:rFonts w:ascii="Times New Roman" w:hAnsi="Times New Roman"/>
          <w:b/>
          <w:sz w:val="28"/>
          <w:szCs w:val="28"/>
        </w:rPr>
        <w:t xml:space="preserve">2.- </w:t>
      </w:r>
      <w:r w:rsidR="005D2075" w:rsidRPr="00B20EF1">
        <w:rPr>
          <w:rFonts w:ascii="Times New Roman" w:hAnsi="Times New Roman"/>
          <w:b/>
          <w:sz w:val="28"/>
          <w:szCs w:val="28"/>
        </w:rPr>
        <w:t xml:space="preserve"> Evidencia empírica</w:t>
      </w:r>
    </w:p>
    <w:p w:rsidR="005D2075" w:rsidRDefault="005D2075" w:rsidP="00863D0E">
      <w:pPr>
        <w:spacing w:before="240" w:line="240" w:lineRule="auto"/>
        <w:ind w:firstLine="709"/>
        <w:rPr>
          <w:rFonts w:ascii="Times New Roman" w:hAnsi="Times New Roman"/>
          <w:sz w:val="24"/>
          <w:szCs w:val="24"/>
        </w:rPr>
      </w:pPr>
      <w:r w:rsidRPr="00271480">
        <w:rPr>
          <w:rFonts w:ascii="Times New Roman" w:hAnsi="Times New Roman"/>
          <w:sz w:val="24"/>
          <w:szCs w:val="24"/>
        </w:rPr>
        <w:t xml:space="preserve">La investigación empírica del CPE empezó en las economías desarrolladas a fines de la década de los 70´s y principios de los 80´s.  </w:t>
      </w:r>
      <w:proofErr w:type="spellStart"/>
      <w:r w:rsidRPr="00271480">
        <w:rPr>
          <w:rFonts w:ascii="Times New Roman" w:hAnsi="Times New Roman"/>
          <w:sz w:val="24"/>
          <w:szCs w:val="24"/>
        </w:rPr>
        <w:t>Alesina</w:t>
      </w:r>
      <w:proofErr w:type="spellEnd"/>
      <w:r w:rsidRPr="00271480">
        <w:rPr>
          <w:rFonts w:ascii="Times New Roman" w:hAnsi="Times New Roman"/>
          <w:sz w:val="24"/>
          <w:szCs w:val="24"/>
        </w:rPr>
        <w:t xml:space="preserve"> et. </w:t>
      </w:r>
      <w:proofErr w:type="gramStart"/>
      <w:r w:rsidRPr="00271480">
        <w:rPr>
          <w:rFonts w:ascii="Times New Roman" w:hAnsi="Times New Roman"/>
          <w:sz w:val="24"/>
          <w:szCs w:val="24"/>
        </w:rPr>
        <w:t>al</w:t>
      </w:r>
      <w:proofErr w:type="gramEnd"/>
      <w:r w:rsidRPr="00271480">
        <w:rPr>
          <w:rFonts w:ascii="Times New Roman" w:hAnsi="Times New Roman"/>
          <w:sz w:val="24"/>
          <w:szCs w:val="24"/>
        </w:rPr>
        <w:t xml:space="preserve">. (1999) investigaron la existencia del CPE en Estados Unidos y los países de la OCDE. </w:t>
      </w:r>
    </w:p>
    <w:p w:rsidR="005D2075" w:rsidRPr="00271480" w:rsidRDefault="005D2075" w:rsidP="00863D0E">
      <w:pPr>
        <w:spacing w:before="240" w:line="240" w:lineRule="auto"/>
        <w:ind w:firstLine="709"/>
        <w:rPr>
          <w:rFonts w:ascii="Times New Roman" w:hAnsi="Times New Roman"/>
          <w:sz w:val="24"/>
          <w:szCs w:val="24"/>
        </w:rPr>
      </w:pPr>
      <w:r w:rsidRPr="00271480">
        <w:rPr>
          <w:rFonts w:ascii="Times New Roman" w:hAnsi="Times New Roman"/>
          <w:sz w:val="24"/>
          <w:szCs w:val="24"/>
        </w:rPr>
        <w:t>En términos generales los resultados respaldan el modelo partisano para Estados Unidos en el periodo de observación. Los resultados son más claros para el crecimiento y el desempleo que para la inflación. En relación a la manipulación preelectoral de las políticas fiscal y monetaria, no se encontró evidencia significativa. Los autores realizaron una extensión de este estudio para una muestra de 18 países de la OCDE, encontrando resultados similares a los obtenidos para Estados Unidos.</w:t>
      </w:r>
    </w:p>
    <w:p w:rsidR="005D2075" w:rsidRDefault="005D2075" w:rsidP="00863D0E">
      <w:pPr>
        <w:spacing w:before="240" w:line="240" w:lineRule="auto"/>
        <w:ind w:firstLine="709"/>
        <w:rPr>
          <w:rFonts w:ascii="Times New Roman" w:hAnsi="Times New Roman"/>
          <w:sz w:val="24"/>
          <w:szCs w:val="24"/>
        </w:rPr>
      </w:pPr>
      <w:r w:rsidRPr="00101F14">
        <w:rPr>
          <w:rFonts w:ascii="Times New Roman" w:hAnsi="Times New Roman"/>
          <w:bCs/>
          <w:sz w:val="24"/>
          <w:szCs w:val="24"/>
        </w:rPr>
        <w:t xml:space="preserve">Los estudios empíricos sobre la presencia del CPE en países emergentes inician a mediados de los 90´s. Entre los principales trabajos se encuentran los desarrollados por </w:t>
      </w:r>
      <w:r w:rsidRPr="00101F14">
        <w:rPr>
          <w:rFonts w:ascii="Times New Roman" w:hAnsi="Times New Roman"/>
          <w:sz w:val="24"/>
          <w:szCs w:val="24"/>
        </w:rPr>
        <w:t xml:space="preserve">Larraín y </w:t>
      </w:r>
      <w:proofErr w:type="spellStart"/>
      <w:r w:rsidRPr="00101F14">
        <w:rPr>
          <w:rFonts w:ascii="Times New Roman" w:hAnsi="Times New Roman"/>
          <w:sz w:val="24"/>
          <w:szCs w:val="24"/>
        </w:rPr>
        <w:t>Assael</w:t>
      </w:r>
      <w:proofErr w:type="spellEnd"/>
      <w:r w:rsidRPr="00101F14">
        <w:rPr>
          <w:rFonts w:ascii="Times New Roman" w:hAnsi="Times New Roman"/>
          <w:sz w:val="24"/>
          <w:szCs w:val="24"/>
        </w:rPr>
        <w:t xml:space="preserve"> (1994, 1995, 1997) para  Chile, </w:t>
      </w:r>
      <w:proofErr w:type="spellStart"/>
      <w:r w:rsidRPr="00101F14">
        <w:rPr>
          <w:rFonts w:ascii="Times New Roman" w:hAnsi="Times New Roman"/>
          <w:sz w:val="24"/>
          <w:szCs w:val="24"/>
        </w:rPr>
        <w:t>Ogura</w:t>
      </w:r>
      <w:proofErr w:type="spellEnd"/>
      <w:r w:rsidRPr="00101F14">
        <w:rPr>
          <w:rFonts w:ascii="Times New Roman" w:hAnsi="Times New Roman"/>
          <w:sz w:val="24"/>
          <w:szCs w:val="24"/>
        </w:rPr>
        <w:t xml:space="preserve"> (2000) </w:t>
      </w:r>
      <w:r>
        <w:rPr>
          <w:rFonts w:ascii="Times New Roman" w:hAnsi="Times New Roman"/>
          <w:sz w:val="24"/>
          <w:szCs w:val="24"/>
        </w:rPr>
        <w:t xml:space="preserve">para Brasil, </w:t>
      </w:r>
      <w:proofErr w:type="spellStart"/>
      <w:r w:rsidRPr="00271480">
        <w:rPr>
          <w:rFonts w:ascii="Times New Roman" w:hAnsi="Times New Roman"/>
          <w:sz w:val="24"/>
          <w:szCs w:val="24"/>
        </w:rPr>
        <w:t>Ergun</w:t>
      </w:r>
      <w:proofErr w:type="spellEnd"/>
      <w:r w:rsidRPr="00271480">
        <w:rPr>
          <w:rFonts w:ascii="Times New Roman" w:hAnsi="Times New Roman"/>
          <w:sz w:val="24"/>
          <w:szCs w:val="24"/>
        </w:rPr>
        <w:t xml:space="preserve"> (2001)</w:t>
      </w:r>
      <w:r>
        <w:rPr>
          <w:rFonts w:ascii="Times New Roman" w:hAnsi="Times New Roman"/>
          <w:sz w:val="24"/>
          <w:szCs w:val="24"/>
        </w:rPr>
        <w:t xml:space="preserve"> en Turquía, y </w:t>
      </w:r>
      <w:r w:rsidRPr="00271480">
        <w:rPr>
          <w:rFonts w:ascii="Times New Roman" w:hAnsi="Times New Roman"/>
          <w:sz w:val="24"/>
          <w:szCs w:val="24"/>
        </w:rPr>
        <w:t xml:space="preserve">Mauricio López et. </w:t>
      </w:r>
      <w:proofErr w:type="gramStart"/>
      <w:r w:rsidRPr="00271480">
        <w:rPr>
          <w:rFonts w:ascii="Times New Roman" w:hAnsi="Times New Roman"/>
          <w:sz w:val="24"/>
          <w:szCs w:val="24"/>
        </w:rPr>
        <w:t>al</w:t>
      </w:r>
      <w:proofErr w:type="gramEnd"/>
      <w:r w:rsidRPr="00271480">
        <w:rPr>
          <w:rFonts w:ascii="Times New Roman" w:hAnsi="Times New Roman"/>
          <w:sz w:val="24"/>
          <w:szCs w:val="24"/>
        </w:rPr>
        <w:t xml:space="preserve">. (2002) </w:t>
      </w:r>
      <w:r>
        <w:rPr>
          <w:rFonts w:ascii="Times New Roman" w:hAnsi="Times New Roman"/>
          <w:sz w:val="24"/>
          <w:szCs w:val="24"/>
        </w:rPr>
        <w:t>en Colombia. En todos ellos se encuentra evidencia del ciclo político económico en su modalidad oportunista.</w:t>
      </w:r>
    </w:p>
    <w:p w:rsidR="005D2075" w:rsidRDefault="005D2075" w:rsidP="00863D0E">
      <w:pPr>
        <w:spacing w:before="240" w:line="240" w:lineRule="auto"/>
        <w:ind w:firstLine="709"/>
        <w:rPr>
          <w:rFonts w:ascii="Times New Roman" w:hAnsi="Times New Roman"/>
          <w:sz w:val="24"/>
          <w:szCs w:val="24"/>
        </w:rPr>
      </w:pPr>
      <w:r>
        <w:rPr>
          <w:rFonts w:ascii="Times New Roman" w:hAnsi="Times New Roman"/>
          <w:sz w:val="24"/>
          <w:szCs w:val="24"/>
        </w:rPr>
        <w:t>Riesco (2008) estudió la presencia de CPE tanto en instrumentos de política monetaria como fiscal para un conjunto de 10 países latinoamericanos, encontrando evidencia de manejo oportunista de ciertas variables, dependiendo del entorno institucional de los países.</w:t>
      </w:r>
    </w:p>
    <w:p w:rsidR="005D2075" w:rsidRDefault="005D2075" w:rsidP="00863D0E">
      <w:pPr>
        <w:pStyle w:val="Sangradetextonormal"/>
        <w:spacing w:before="240"/>
        <w:ind w:left="0" w:firstLine="708"/>
      </w:pPr>
      <w:r w:rsidRPr="00271480">
        <w:t xml:space="preserve">Los estudios empíricos sobre la existencia del ciclo político presupuestal (CPP) son más recientes y más enfocados a las economías emergentes. </w:t>
      </w:r>
      <w:r>
        <w:t xml:space="preserve"> Entre estos se encuentran los realizados por </w:t>
      </w:r>
      <w:proofErr w:type="spellStart"/>
      <w:r w:rsidRPr="00271480">
        <w:rPr>
          <w:lang w:val="es-MX"/>
        </w:rPr>
        <w:t>Schuknecht</w:t>
      </w:r>
      <w:proofErr w:type="spellEnd"/>
      <w:r w:rsidRPr="00271480">
        <w:rPr>
          <w:lang w:val="es-MX"/>
        </w:rPr>
        <w:t xml:space="preserve"> (1996, 2000)</w:t>
      </w:r>
      <w:r>
        <w:rPr>
          <w:lang w:val="es-MX"/>
        </w:rPr>
        <w:t xml:space="preserve">, </w:t>
      </w:r>
      <w:proofErr w:type="spellStart"/>
      <w:r w:rsidRPr="00271480">
        <w:rPr>
          <w:lang w:val="es-MX"/>
        </w:rPr>
        <w:t>Brender</w:t>
      </w:r>
      <w:proofErr w:type="spellEnd"/>
      <w:r w:rsidRPr="00271480">
        <w:rPr>
          <w:lang w:val="es-MX"/>
        </w:rPr>
        <w:t xml:space="preserve"> y </w:t>
      </w:r>
      <w:proofErr w:type="spellStart"/>
      <w:r w:rsidRPr="00271480">
        <w:rPr>
          <w:lang w:val="es-MX"/>
        </w:rPr>
        <w:t>Drazen</w:t>
      </w:r>
      <w:proofErr w:type="spellEnd"/>
      <w:r w:rsidRPr="00271480">
        <w:rPr>
          <w:lang w:val="es-MX"/>
        </w:rPr>
        <w:t xml:space="preserve"> (2003, 2005)</w:t>
      </w:r>
      <w:r>
        <w:rPr>
          <w:lang w:val="es-MX"/>
        </w:rPr>
        <w:t xml:space="preserve">, </w:t>
      </w:r>
      <w:proofErr w:type="spellStart"/>
      <w:r w:rsidRPr="00271480">
        <w:t>Shi</w:t>
      </w:r>
      <w:proofErr w:type="spellEnd"/>
      <w:r w:rsidRPr="00271480">
        <w:t xml:space="preserve"> y </w:t>
      </w:r>
      <w:proofErr w:type="spellStart"/>
      <w:r w:rsidRPr="00271480">
        <w:t>Svensson</w:t>
      </w:r>
      <w:proofErr w:type="spellEnd"/>
      <w:r w:rsidRPr="00271480">
        <w:t xml:space="preserve"> (</w:t>
      </w:r>
      <w:r>
        <w:t>2002, 2003, 2006</w:t>
      </w:r>
      <w:r w:rsidRPr="00271480">
        <w:t>)</w:t>
      </w:r>
      <w:r>
        <w:t>.</w:t>
      </w:r>
    </w:p>
    <w:p w:rsidR="00944D12" w:rsidRDefault="00944D12" w:rsidP="00863D0E">
      <w:pPr>
        <w:pStyle w:val="Sangradetextonormal"/>
        <w:spacing w:before="240"/>
        <w:ind w:left="0" w:firstLine="708"/>
      </w:pPr>
      <w:proofErr w:type="spellStart"/>
      <w:r>
        <w:t>Gupta</w:t>
      </w:r>
      <w:proofErr w:type="spellEnd"/>
      <w:r>
        <w:t xml:space="preserve">, </w:t>
      </w:r>
      <w:proofErr w:type="spellStart"/>
      <w:r>
        <w:t>Liu</w:t>
      </w:r>
      <w:proofErr w:type="spellEnd"/>
      <w:r>
        <w:t xml:space="preserve"> y Mulas Granados (2015) estudian el efecto del ciclo político en la inversión pública en 80 países (incluido México) entre 1975 y 2012, encontrando que el crecimiento de la inversión pública es mayor a inicios del ciclo electoral y se desacelera después de los comicios.</w:t>
      </w:r>
    </w:p>
    <w:p w:rsidR="005D2075" w:rsidRDefault="005D2075" w:rsidP="00863D0E">
      <w:pPr>
        <w:pStyle w:val="Sangra3detindependiente"/>
        <w:tabs>
          <w:tab w:val="left" w:pos="4200"/>
        </w:tabs>
        <w:spacing w:before="240" w:line="240" w:lineRule="auto"/>
        <w:ind w:left="0" w:firstLine="709"/>
        <w:rPr>
          <w:rFonts w:ascii="Times New Roman" w:hAnsi="Times New Roman"/>
          <w:sz w:val="24"/>
          <w:szCs w:val="24"/>
        </w:rPr>
      </w:pPr>
      <w:r w:rsidRPr="00271480">
        <w:rPr>
          <w:rFonts w:ascii="Times New Roman" w:hAnsi="Times New Roman"/>
          <w:sz w:val="24"/>
          <w:szCs w:val="24"/>
        </w:rPr>
        <w:t xml:space="preserve">A nivel </w:t>
      </w:r>
      <w:proofErr w:type="spellStart"/>
      <w:r w:rsidRPr="00271480">
        <w:rPr>
          <w:rFonts w:ascii="Times New Roman" w:hAnsi="Times New Roman"/>
          <w:sz w:val="24"/>
          <w:szCs w:val="24"/>
        </w:rPr>
        <w:t>subnacional</w:t>
      </w:r>
      <w:proofErr w:type="spellEnd"/>
      <w:r w:rsidRPr="00271480">
        <w:rPr>
          <w:rFonts w:ascii="Times New Roman" w:hAnsi="Times New Roman"/>
          <w:sz w:val="24"/>
          <w:szCs w:val="24"/>
        </w:rPr>
        <w:t xml:space="preserve">, el CPP fue estudiado </w:t>
      </w:r>
      <w:r>
        <w:rPr>
          <w:rFonts w:ascii="Times New Roman" w:hAnsi="Times New Roman"/>
          <w:sz w:val="24"/>
          <w:szCs w:val="24"/>
        </w:rPr>
        <w:t xml:space="preserve">en La India por </w:t>
      </w:r>
      <w:proofErr w:type="spellStart"/>
      <w:r>
        <w:rPr>
          <w:rFonts w:ascii="Times New Roman" w:hAnsi="Times New Roman"/>
          <w:sz w:val="24"/>
          <w:szCs w:val="24"/>
        </w:rPr>
        <w:t>Khemani</w:t>
      </w:r>
      <w:proofErr w:type="spellEnd"/>
      <w:r>
        <w:rPr>
          <w:rFonts w:ascii="Times New Roman" w:hAnsi="Times New Roman"/>
          <w:sz w:val="24"/>
          <w:szCs w:val="24"/>
        </w:rPr>
        <w:t xml:space="preserve"> (2000), </w:t>
      </w:r>
      <w:r w:rsidRPr="00271480">
        <w:rPr>
          <w:rFonts w:ascii="Times New Roman" w:hAnsi="Times New Roman"/>
          <w:sz w:val="24"/>
          <w:szCs w:val="24"/>
        </w:rPr>
        <w:t>en Rusia  (</w:t>
      </w:r>
      <w:proofErr w:type="spellStart"/>
      <w:r w:rsidRPr="00271480">
        <w:rPr>
          <w:rFonts w:ascii="Times New Roman" w:hAnsi="Times New Roman"/>
          <w:sz w:val="24"/>
          <w:szCs w:val="24"/>
        </w:rPr>
        <w:t>Akhmedov</w:t>
      </w:r>
      <w:proofErr w:type="spellEnd"/>
      <w:r w:rsidRPr="00271480">
        <w:rPr>
          <w:rFonts w:ascii="Times New Roman" w:hAnsi="Times New Roman"/>
          <w:sz w:val="24"/>
          <w:szCs w:val="24"/>
        </w:rPr>
        <w:t xml:space="preserve">, et. al.  2002, </w:t>
      </w:r>
      <w:proofErr w:type="spellStart"/>
      <w:r>
        <w:rPr>
          <w:rFonts w:ascii="Times New Roman" w:hAnsi="Times New Roman"/>
          <w:sz w:val="24"/>
          <w:szCs w:val="24"/>
        </w:rPr>
        <w:t>Akhmedov</w:t>
      </w:r>
      <w:proofErr w:type="spellEnd"/>
      <w:r>
        <w:rPr>
          <w:rFonts w:ascii="Times New Roman" w:hAnsi="Times New Roman"/>
          <w:sz w:val="24"/>
          <w:szCs w:val="24"/>
        </w:rPr>
        <w:t xml:space="preserve"> y </w:t>
      </w:r>
      <w:proofErr w:type="spellStart"/>
      <w:r>
        <w:rPr>
          <w:rFonts w:ascii="Times New Roman" w:hAnsi="Times New Roman"/>
          <w:sz w:val="24"/>
          <w:szCs w:val="24"/>
        </w:rPr>
        <w:t>Zhuravskaya</w:t>
      </w:r>
      <w:proofErr w:type="spellEnd"/>
      <w:r>
        <w:rPr>
          <w:rFonts w:ascii="Times New Roman" w:hAnsi="Times New Roman"/>
          <w:sz w:val="24"/>
          <w:szCs w:val="24"/>
        </w:rPr>
        <w:t>, 2003), en Colombia (</w:t>
      </w:r>
      <w:proofErr w:type="spellStart"/>
      <w:r w:rsidRPr="00271480">
        <w:rPr>
          <w:rFonts w:ascii="Times New Roman" w:hAnsi="Times New Roman"/>
          <w:sz w:val="24"/>
          <w:szCs w:val="24"/>
        </w:rPr>
        <w:t>Drazen</w:t>
      </w:r>
      <w:proofErr w:type="spellEnd"/>
      <w:r w:rsidRPr="00271480">
        <w:rPr>
          <w:rFonts w:ascii="Times New Roman" w:hAnsi="Times New Roman"/>
          <w:sz w:val="24"/>
          <w:szCs w:val="24"/>
        </w:rPr>
        <w:t xml:space="preserve"> y Eslava (2002)</w:t>
      </w:r>
      <w:r>
        <w:rPr>
          <w:rFonts w:ascii="Times New Roman" w:hAnsi="Times New Roman"/>
          <w:sz w:val="24"/>
          <w:szCs w:val="24"/>
        </w:rPr>
        <w:t>,</w:t>
      </w:r>
      <w:r w:rsidRPr="00271480">
        <w:rPr>
          <w:rFonts w:ascii="Times New Roman" w:hAnsi="Times New Roman"/>
          <w:sz w:val="24"/>
          <w:szCs w:val="24"/>
        </w:rPr>
        <w:t xml:space="preserve"> </w:t>
      </w:r>
      <w:r>
        <w:rPr>
          <w:rFonts w:ascii="Times New Roman" w:hAnsi="Times New Roman"/>
          <w:sz w:val="24"/>
          <w:szCs w:val="24"/>
        </w:rPr>
        <w:t>en Argentina (</w:t>
      </w:r>
      <w:r w:rsidRPr="00271480">
        <w:rPr>
          <w:rFonts w:ascii="Times New Roman" w:hAnsi="Times New Roman"/>
          <w:sz w:val="24"/>
          <w:szCs w:val="24"/>
        </w:rPr>
        <w:t>Medina</w:t>
      </w:r>
      <w:r>
        <w:rPr>
          <w:rFonts w:ascii="Times New Roman" w:hAnsi="Times New Roman"/>
          <w:sz w:val="24"/>
          <w:szCs w:val="24"/>
        </w:rPr>
        <w:t xml:space="preserve">, </w:t>
      </w:r>
      <w:r w:rsidRPr="00271480">
        <w:rPr>
          <w:rFonts w:ascii="Times New Roman" w:hAnsi="Times New Roman"/>
          <w:sz w:val="24"/>
          <w:szCs w:val="24"/>
        </w:rPr>
        <w:t xml:space="preserve">2003) </w:t>
      </w:r>
      <w:r>
        <w:rPr>
          <w:rFonts w:ascii="Times New Roman" w:hAnsi="Times New Roman"/>
          <w:sz w:val="24"/>
          <w:szCs w:val="24"/>
        </w:rPr>
        <w:t>y en Portugal (</w:t>
      </w:r>
      <w:proofErr w:type="spellStart"/>
      <w:r w:rsidRPr="00271480">
        <w:rPr>
          <w:rFonts w:ascii="Times New Roman" w:hAnsi="Times New Roman"/>
          <w:sz w:val="24"/>
          <w:szCs w:val="24"/>
        </w:rPr>
        <w:t>Goncalvez</w:t>
      </w:r>
      <w:proofErr w:type="spellEnd"/>
      <w:r w:rsidRPr="00271480">
        <w:rPr>
          <w:rFonts w:ascii="Times New Roman" w:hAnsi="Times New Roman"/>
          <w:sz w:val="24"/>
          <w:szCs w:val="24"/>
        </w:rPr>
        <w:t xml:space="preserve"> </w:t>
      </w:r>
      <w:r>
        <w:rPr>
          <w:rFonts w:ascii="Times New Roman" w:hAnsi="Times New Roman"/>
          <w:sz w:val="24"/>
          <w:szCs w:val="24"/>
        </w:rPr>
        <w:t>y</w:t>
      </w:r>
      <w:r w:rsidRPr="00271480">
        <w:rPr>
          <w:rFonts w:ascii="Times New Roman" w:hAnsi="Times New Roman"/>
          <w:sz w:val="24"/>
          <w:szCs w:val="24"/>
        </w:rPr>
        <w:t xml:space="preserve"> </w:t>
      </w:r>
      <w:proofErr w:type="spellStart"/>
      <w:r w:rsidRPr="00271480">
        <w:rPr>
          <w:rFonts w:ascii="Times New Roman" w:hAnsi="Times New Roman"/>
          <w:sz w:val="24"/>
          <w:szCs w:val="24"/>
        </w:rPr>
        <w:t>Veiga</w:t>
      </w:r>
      <w:proofErr w:type="spellEnd"/>
      <w:r>
        <w:rPr>
          <w:rFonts w:ascii="Times New Roman" w:hAnsi="Times New Roman"/>
          <w:sz w:val="24"/>
          <w:szCs w:val="24"/>
        </w:rPr>
        <w:t xml:space="preserve">, </w:t>
      </w:r>
      <w:r w:rsidRPr="00271480">
        <w:rPr>
          <w:rFonts w:ascii="Times New Roman" w:hAnsi="Times New Roman"/>
          <w:sz w:val="24"/>
          <w:szCs w:val="24"/>
        </w:rPr>
        <w:t>004)</w:t>
      </w:r>
      <w:r>
        <w:rPr>
          <w:rFonts w:ascii="Times New Roman" w:hAnsi="Times New Roman"/>
          <w:sz w:val="24"/>
          <w:szCs w:val="24"/>
        </w:rPr>
        <w:t xml:space="preserve">.Todos </w:t>
      </w:r>
      <w:r>
        <w:rPr>
          <w:rFonts w:ascii="Times New Roman" w:hAnsi="Times New Roman"/>
          <w:sz w:val="24"/>
          <w:szCs w:val="24"/>
        </w:rPr>
        <w:lastRenderedPageBreak/>
        <w:t>estos autores encuentran evidencia de un ciclo presupuestal oportunista en las economías emergentes.</w:t>
      </w:r>
    </w:p>
    <w:p w:rsidR="005D2075" w:rsidRDefault="005D2075" w:rsidP="00863D0E">
      <w:pPr>
        <w:pStyle w:val="Sangra3detindependiente"/>
        <w:tabs>
          <w:tab w:val="left" w:pos="4200"/>
        </w:tabs>
        <w:spacing w:before="240" w:line="240" w:lineRule="auto"/>
        <w:ind w:left="0" w:firstLine="709"/>
        <w:rPr>
          <w:rFonts w:ascii="Times New Roman" w:hAnsi="Times New Roman"/>
          <w:sz w:val="24"/>
          <w:szCs w:val="24"/>
        </w:rPr>
      </w:pPr>
    </w:p>
    <w:p w:rsidR="005D2075" w:rsidRPr="00B20EF1" w:rsidRDefault="008D65DD" w:rsidP="00863D0E">
      <w:pPr>
        <w:pStyle w:val="Ttulo5"/>
        <w:spacing w:line="240" w:lineRule="auto"/>
        <w:jc w:val="both"/>
        <w:rPr>
          <w:rFonts w:ascii="Times New Roman" w:hAnsi="Times New Roman"/>
          <w:i w:val="0"/>
          <w:sz w:val="28"/>
          <w:szCs w:val="28"/>
        </w:rPr>
      </w:pPr>
      <w:r>
        <w:rPr>
          <w:rFonts w:ascii="Times New Roman" w:hAnsi="Times New Roman"/>
          <w:i w:val="0"/>
          <w:sz w:val="28"/>
          <w:szCs w:val="28"/>
        </w:rPr>
        <w:t xml:space="preserve">3.- </w:t>
      </w:r>
      <w:r w:rsidR="005D2075" w:rsidRPr="00B20EF1">
        <w:rPr>
          <w:rFonts w:ascii="Times New Roman" w:hAnsi="Times New Roman"/>
          <w:i w:val="0"/>
          <w:sz w:val="28"/>
          <w:szCs w:val="28"/>
        </w:rPr>
        <w:t>Evidencia en México</w:t>
      </w:r>
    </w:p>
    <w:p w:rsidR="005D2075" w:rsidRPr="00271480" w:rsidRDefault="005D2075" w:rsidP="00863D0E">
      <w:pPr>
        <w:pStyle w:val="Sangradetextonormal"/>
        <w:spacing w:before="240"/>
        <w:ind w:left="0" w:firstLine="424"/>
      </w:pPr>
      <w:r w:rsidRPr="00271480">
        <w:t>A pesar de la importancia que han tenido los eventos políticos en la economía mexicana, los estudios sobre esta materia en nuestro país son sorprendentemente escasos.</w:t>
      </w:r>
    </w:p>
    <w:p w:rsidR="005D2075" w:rsidRDefault="005D2075" w:rsidP="00863D0E">
      <w:pPr>
        <w:pStyle w:val="Sangradetextonormal"/>
        <w:spacing w:before="240"/>
        <w:ind w:left="0" w:firstLine="424"/>
      </w:pPr>
      <w:r w:rsidRPr="00271480">
        <w:t xml:space="preserve">Uno de los primeros es el realizado por Gámez y Botello (1987)  que realizaron un análisis de la relación entre el ciclo presidencial en México y variables macroeconómicas. En este estudio se incluyó el análisis de cinco administraciones presidenciales, de Ruiz Cortines a López Portillo (1953 – 1982). </w:t>
      </w:r>
    </w:p>
    <w:p w:rsidR="005D2075" w:rsidRDefault="005D2075" w:rsidP="00863D0E">
      <w:pPr>
        <w:pStyle w:val="Sangradetextonormal"/>
        <w:spacing w:before="240"/>
        <w:ind w:left="0" w:firstLine="424"/>
      </w:pPr>
      <w:proofErr w:type="spellStart"/>
      <w:r w:rsidRPr="00271480">
        <w:t>Magaloni</w:t>
      </w:r>
      <w:proofErr w:type="spellEnd"/>
      <w:r w:rsidRPr="00271480">
        <w:t xml:space="preserve"> (2000) estudia la influencia del ciclo político en la economía mexicana entre 1970 y 1998, encontrado incrementos en el gasto público, el consumo privado, y el crecimiento de la economía antes de las elecciones, una posposición de los ajustes cambiarios hasta después de los procesos electorales, así como una contracción de la actividad económica después de los comicios. </w:t>
      </w:r>
    </w:p>
    <w:p w:rsidR="005D2075" w:rsidRDefault="005D2075" w:rsidP="00863D0E">
      <w:pPr>
        <w:pStyle w:val="Sangra3detindependiente1"/>
        <w:spacing w:before="240" w:line="240" w:lineRule="auto"/>
        <w:ind w:firstLine="709"/>
      </w:pPr>
      <w:r w:rsidRPr="00271480">
        <w:t>González (2000, 2002) estudia el CPP en México en el periodo comprendido entre 1957 y 1997. La autora encuentra evidencia de manipulación de instrumentos de política fiscal en los periodos preelectorales. E</w:t>
      </w:r>
      <w:r>
        <w:t xml:space="preserve">ste patrón es más acentuado </w:t>
      </w:r>
      <w:r w:rsidRPr="00271480">
        <w:t xml:space="preserve">ciertas partidas del </w:t>
      </w:r>
      <w:r>
        <w:t>gasto público</w:t>
      </w:r>
      <w:r w:rsidRPr="00271480">
        <w:t xml:space="preserve">, como la inversión pública y los pagos de transferencia. </w:t>
      </w:r>
    </w:p>
    <w:p w:rsidR="005D2075" w:rsidRDefault="005D2075" w:rsidP="00863D0E">
      <w:pPr>
        <w:pStyle w:val="Sangradetextonormal"/>
        <w:spacing w:before="240"/>
        <w:ind w:left="0" w:firstLine="709"/>
      </w:pPr>
      <w:r w:rsidRPr="00271480">
        <w:t xml:space="preserve">Flores Curiel (2007) examina los efectos de las elecciones en México en la tasa de crecimiento del PIB, el desempleo, la inflación y el gasto público usando información trimestral de </w:t>
      </w:r>
      <w:smartTag w:uri="urn:schemas-microsoft-com:office:smarttags" w:element="metricconverter">
        <w:smartTagPr>
          <w:attr w:name="ProductID" w:val="1983 a"/>
        </w:smartTagPr>
        <w:r w:rsidRPr="00271480">
          <w:t>1983 a</w:t>
        </w:r>
      </w:smartTag>
      <w:r w:rsidRPr="00271480">
        <w:t xml:space="preserve"> 2005. Flores Curiel llega a la conclusión que las elecciones no tienen efecto alguno en estas variables, “si bien se advierte que existe un crecimiento extraordinario del gasto público justo antes de las elecciones presidenciales”</w:t>
      </w:r>
      <w:r>
        <w:t>.</w:t>
      </w:r>
    </w:p>
    <w:p w:rsidR="005D2075" w:rsidRDefault="005D2075" w:rsidP="00863D0E">
      <w:pPr>
        <w:pStyle w:val="Sangradetextonormal"/>
        <w:spacing w:before="240"/>
        <w:ind w:left="0" w:firstLine="709"/>
      </w:pPr>
      <w:r w:rsidRPr="00271480">
        <w:t>Morales (2007) estudia la relación entre el cambio de poderes presidenciales y el comportamiento de la industria manufacturera en México</w:t>
      </w:r>
      <w:r>
        <w:t>, encontrando</w:t>
      </w:r>
      <w:r w:rsidRPr="00271480">
        <w:t xml:space="preserve"> una caída significativa en la mayoría de las ramas manufactureras en el país seis meses después del cambio de la administración presidencial.</w:t>
      </w:r>
    </w:p>
    <w:p w:rsidR="005D2075" w:rsidRDefault="005D2075" w:rsidP="00863D0E">
      <w:pPr>
        <w:spacing w:before="240" w:line="240" w:lineRule="auto"/>
        <w:ind w:firstLine="708"/>
        <w:rPr>
          <w:rFonts w:ascii="Times New Roman" w:hAnsi="Times New Roman"/>
          <w:sz w:val="24"/>
          <w:szCs w:val="24"/>
        </w:rPr>
      </w:pPr>
      <w:r w:rsidRPr="00F04C15">
        <w:rPr>
          <w:rFonts w:ascii="Times New Roman" w:hAnsi="Times New Roman"/>
          <w:sz w:val="24"/>
          <w:szCs w:val="24"/>
        </w:rPr>
        <w:t>Gámez y Amarillas (2011) encuentran un patrón cíclico en el gasto público federal, con fuertes expansiones en el último año de cada sexenio, seguidas por una contracción en el primer</w:t>
      </w:r>
      <w:r w:rsidRPr="00271480">
        <w:rPr>
          <w:rFonts w:ascii="Times New Roman" w:hAnsi="Times New Roman"/>
          <w:sz w:val="24"/>
          <w:szCs w:val="24"/>
        </w:rPr>
        <w:t xml:space="preserve"> año de la administración entrante. Este ciclo es más pronunciado en el caso del gasto de capital, que incluye obras públicas y de infraestructura</w:t>
      </w:r>
      <w:r>
        <w:rPr>
          <w:rFonts w:ascii="Times New Roman" w:hAnsi="Times New Roman"/>
          <w:sz w:val="24"/>
          <w:szCs w:val="24"/>
        </w:rPr>
        <w:t>.</w:t>
      </w:r>
    </w:p>
    <w:p w:rsidR="005D2075" w:rsidRPr="00271480" w:rsidRDefault="005D2075" w:rsidP="00863D0E">
      <w:pPr>
        <w:spacing w:before="240" w:line="240" w:lineRule="auto"/>
        <w:ind w:firstLine="708"/>
        <w:rPr>
          <w:rFonts w:ascii="Times New Roman" w:hAnsi="Times New Roman"/>
          <w:sz w:val="24"/>
          <w:szCs w:val="24"/>
        </w:rPr>
      </w:pPr>
      <w:r>
        <w:rPr>
          <w:rFonts w:ascii="Times New Roman" w:hAnsi="Times New Roman"/>
          <w:sz w:val="24"/>
          <w:szCs w:val="24"/>
        </w:rPr>
        <w:t>Amarillas (2012), estudia la relación entre el ciclo presupuestal y la alternancia en el poder a nivel estatal, encontrando que el comportamiento oportunista no necesariamente incrementa las probabilidades de victoria electoral.</w:t>
      </w:r>
    </w:p>
    <w:p w:rsidR="005D2075" w:rsidRDefault="005D2075" w:rsidP="00863D0E">
      <w:pPr>
        <w:pStyle w:val="Sangradetextonormal"/>
        <w:spacing w:before="240"/>
        <w:ind w:left="0" w:firstLine="709"/>
      </w:pPr>
      <w:r w:rsidRPr="00271480">
        <w:t>Gámez (20</w:t>
      </w:r>
      <w:r>
        <w:t>12)</w:t>
      </w:r>
      <w:r w:rsidRPr="00271480">
        <w:t xml:space="preserve"> encuentra evidencia del CPE en las principales variables macroeconómicas del país, como el producto interno bruto (PIB) general y sectorial</w:t>
      </w:r>
      <w:r>
        <w:t xml:space="preserve">, el </w:t>
      </w:r>
      <w:r>
        <w:lastRenderedPageBreak/>
        <w:t>gasto público federal y el tipo de cambio. A nivel estatal se detecta un parón cíclico en el PIB estatal, el gasto público y el empleo.</w:t>
      </w:r>
    </w:p>
    <w:p w:rsidR="00944D12" w:rsidRDefault="00944D12" w:rsidP="00863D0E">
      <w:pPr>
        <w:pStyle w:val="Sangradetextonormal"/>
        <w:spacing w:before="240"/>
        <w:ind w:left="0" w:firstLine="709"/>
      </w:pPr>
      <w:r>
        <w:t>Gámez (2012ª) estudia la relación entre el ciclo político y la demanda agregada en México de 1981 a 2010, encontrando que a principios de cada administración presidencial la demanda agregada tiende a desacelerarse, especialmente el consumo de gobierno y la formación de capital.</w:t>
      </w:r>
    </w:p>
    <w:p w:rsidR="005D2075" w:rsidRDefault="005D2075" w:rsidP="00863D0E">
      <w:pPr>
        <w:spacing w:before="240" w:line="240" w:lineRule="auto"/>
        <w:rPr>
          <w:rFonts w:ascii="Times New Roman" w:hAnsi="Times New Roman"/>
          <w:b/>
          <w:sz w:val="24"/>
          <w:szCs w:val="24"/>
        </w:rPr>
      </w:pPr>
    </w:p>
    <w:p w:rsidR="00CB5F28" w:rsidRPr="00551A9B" w:rsidRDefault="008D65DD" w:rsidP="00863D0E">
      <w:pPr>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CB5F28" w:rsidRPr="00551A9B">
        <w:rPr>
          <w:rFonts w:ascii="Times New Roman" w:hAnsi="Times New Roman" w:cs="Times New Roman"/>
          <w:b/>
          <w:sz w:val="24"/>
          <w:szCs w:val="24"/>
        </w:rPr>
        <w:t>La información</w:t>
      </w:r>
    </w:p>
    <w:p w:rsidR="00CB5F28" w:rsidRDefault="008123B2" w:rsidP="008638C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En este trabajo se analizan las series de formación de capital por comprador, disponibles con periodicidad trimestral en el INEGI, en el apartado de </w:t>
      </w:r>
      <w:r w:rsidR="00361B04">
        <w:rPr>
          <w:rFonts w:ascii="Times New Roman" w:hAnsi="Times New Roman" w:cs="Times New Roman"/>
          <w:sz w:val="24"/>
          <w:szCs w:val="24"/>
        </w:rPr>
        <w:t>C</w:t>
      </w:r>
      <w:r>
        <w:rPr>
          <w:rFonts w:ascii="Times New Roman" w:hAnsi="Times New Roman" w:cs="Times New Roman"/>
          <w:sz w:val="24"/>
          <w:szCs w:val="24"/>
        </w:rPr>
        <w:t>uentas Nacionales del</w:t>
      </w:r>
      <w:r w:rsidR="00361B04">
        <w:rPr>
          <w:rFonts w:ascii="Times New Roman" w:hAnsi="Times New Roman" w:cs="Times New Roman"/>
          <w:sz w:val="24"/>
          <w:szCs w:val="24"/>
        </w:rPr>
        <w:t xml:space="preserve"> Banco de Información Económica (</w:t>
      </w:r>
      <w:r>
        <w:rPr>
          <w:rFonts w:ascii="Times New Roman" w:hAnsi="Times New Roman" w:cs="Times New Roman"/>
          <w:sz w:val="24"/>
          <w:szCs w:val="24"/>
        </w:rPr>
        <w:t>BIE</w:t>
      </w:r>
      <w:r w:rsidR="00361B04">
        <w:rPr>
          <w:rFonts w:ascii="Times New Roman" w:hAnsi="Times New Roman" w:cs="Times New Roman"/>
          <w:sz w:val="24"/>
          <w:szCs w:val="24"/>
        </w:rPr>
        <w:t xml:space="preserve">), del INEGI. </w:t>
      </w:r>
      <w:r w:rsidR="00F178ED">
        <w:rPr>
          <w:rFonts w:ascii="Times New Roman" w:hAnsi="Times New Roman" w:cs="Times New Roman"/>
          <w:sz w:val="24"/>
          <w:szCs w:val="24"/>
        </w:rPr>
        <w:t>La información se proporciona en valores constantes, medidos en millones de pesos de 2008.</w:t>
      </w:r>
    </w:p>
    <w:p w:rsidR="002348FE" w:rsidRDefault="00361B04" w:rsidP="002348FE">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Esta información está desglosada </w:t>
      </w:r>
      <w:r w:rsidR="002348FE">
        <w:rPr>
          <w:rFonts w:ascii="Times New Roman" w:hAnsi="Times New Roman" w:cs="Times New Roman"/>
          <w:sz w:val="24"/>
          <w:szCs w:val="24"/>
        </w:rPr>
        <w:t>en</w:t>
      </w:r>
      <w:r>
        <w:rPr>
          <w:rFonts w:ascii="Times New Roman" w:hAnsi="Times New Roman" w:cs="Times New Roman"/>
          <w:sz w:val="24"/>
          <w:szCs w:val="24"/>
        </w:rPr>
        <w:t xml:space="preserve"> </w:t>
      </w:r>
      <w:r w:rsidR="000B4776">
        <w:rPr>
          <w:rFonts w:ascii="Times New Roman" w:hAnsi="Times New Roman" w:cs="Times New Roman"/>
          <w:sz w:val="24"/>
          <w:szCs w:val="24"/>
        </w:rPr>
        <w:t xml:space="preserve">formación de capital total (TOT), formación de capital </w:t>
      </w:r>
      <w:r w:rsidR="002348FE">
        <w:rPr>
          <w:rFonts w:ascii="Times New Roman" w:hAnsi="Times New Roman" w:cs="Times New Roman"/>
          <w:sz w:val="24"/>
          <w:szCs w:val="24"/>
        </w:rPr>
        <w:t xml:space="preserve">público (PUB) y privado (PRIV). </w:t>
      </w:r>
      <w:r w:rsidR="008123B2">
        <w:rPr>
          <w:rFonts w:ascii="Times New Roman" w:hAnsi="Times New Roman" w:cs="Times New Roman"/>
          <w:sz w:val="24"/>
          <w:szCs w:val="24"/>
        </w:rPr>
        <w:t xml:space="preserve">Esta información está disponible desde el primer trimestre </w:t>
      </w:r>
      <w:r>
        <w:rPr>
          <w:rFonts w:ascii="Times New Roman" w:hAnsi="Times New Roman" w:cs="Times New Roman"/>
          <w:sz w:val="24"/>
          <w:szCs w:val="24"/>
        </w:rPr>
        <w:t>d</w:t>
      </w:r>
      <w:r w:rsidR="008123B2">
        <w:rPr>
          <w:rFonts w:ascii="Times New Roman" w:hAnsi="Times New Roman" w:cs="Times New Roman"/>
          <w:sz w:val="24"/>
          <w:szCs w:val="24"/>
        </w:rPr>
        <w:t xml:space="preserve">e 1993 hasta el presente. </w:t>
      </w:r>
    </w:p>
    <w:p w:rsidR="008123B2" w:rsidRDefault="008123B2" w:rsidP="002348FE">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Para el análisis se utilizan las tasas de crecimiento anual de las diversas categorías de este indicador, por lo que la información analizada aquí va desde el primer trimestre de 1994 al cuarto trimestre de 2015.</w:t>
      </w:r>
      <w:r w:rsidR="00944D12">
        <w:rPr>
          <w:rFonts w:ascii="Times New Roman" w:hAnsi="Times New Roman" w:cs="Times New Roman"/>
          <w:sz w:val="24"/>
          <w:szCs w:val="24"/>
        </w:rPr>
        <w:t xml:space="preserve"> </w:t>
      </w:r>
      <w:r>
        <w:rPr>
          <w:rFonts w:ascii="Times New Roman" w:hAnsi="Times New Roman" w:cs="Times New Roman"/>
          <w:sz w:val="24"/>
          <w:szCs w:val="24"/>
        </w:rPr>
        <w:t>En este periodo se registran cuatro cambios de administración presidencial: 1994-1995, 2000-2001, 2006-2007 y 2012-2013.</w:t>
      </w:r>
    </w:p>
    <w:p w:rsidR="00CB5F28" w:rsidRPr="00551A9B" w:rsidRDefault="00EF49CD" w:rsidP="00863D0E">
      <w:pPr>
        <w:spacing w:before="240" w:line="240" w:lineRule="auto"/>
        <w:rPr>
          <w:rFonts w:ascii="Times New Roman" w:hAnsi="Times New Roman" w:cs="Times New Roman"/>
          <w:b/>
          <w:sz w:val="24"/>
          <w:szCs w:val="24"/>
        </w:rPr>
      </w:pPr>
      <w:r>
        <w:rPr>
          <w:rFonts w:ascii="Times New Roman" w:hAnsi="Times New Roman" w:cs="Times New Roman"/>
          <w:b/>
          <w:sz w:val="24"/>
          <w:szCs w:val="24"/>
        </w:rPr>
        <w:t>4.1</w:t>
      </w:r>
      <w:r w:rsidR="008D65DD">
        <w:rPr>
          <w:rFonts w:ascii="Times New Roman" w:hAnsi="Times New Roman" w:cs="Times New Roman"/>
          <w:b/>
          <w:sz w:val="24"/>
          <w:szCs w:val="24"/>
        </w:rPr>
        <w:t xml:space="preserve">.- </w:t>
      </w:r>
      <w:r w:rsidR="00CB5F28" w:rsidRPr="00551A9B">
        <w:rPr>
          <w:rFonts w:ascii="Times New Roman" w:hAnsi="Times New Roman" w:cs="Times New Roman"/>
          <w:b/>
          <w:sz w:val="24"/>
          <w:szCs w:val="24"/>
        </w:rPr>
        <w:t>Estadísticas descriptivas</w:t>
      </w:r>
    </w:p>
    <w:p w:rsidR="002348FE" w:rsidRDefault="00734892" w:rsidP="002348FE">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En </w:t>
      </w:r>
      <w:r w:rsidR="002348FE">
        <w:rPr>
          <w:rFonts w:ascii="Times New Roman" w:hAnsi="Times New Roman" w:cs="Times New Roman"/>
          <w:sz w:val="24"/>
          <w:szCs w:val="24"/>
        </w:rPr>
        <w:t>el periodo considerado,</w:t>
      </w:r>
      <w:r>
        <w:rPr>
          <w:rFonts w:ascii="Times New Roman" w:hAnsi="Times New Roman" w:cs="Times New Roman"/>
          <w:sz w:val="24"/>
          <w:szCs w:val="24"/>
        </w:rPr>
        <w:t xml:space="preserve"> la formación de capital del sector privado representa el 71.9</w:t>
      </w:r>
      <w:r w:rsidR="008E0EC5">
        <w:rPr>
          <w:rFonts w:ascii="Times New Roman" w:hAnsi="Times New Roman" w:cs="Times New Roman"/>
          <w:sz w:val="24"/>
          <w:szCs w:val="24"/>
        </w:rPr>
        <w:t>%</w:t>
      </w:r>
      <w:r>
        <w:rPr>
          <w:rFonts w:ascii="Times New Roman" w:hAnsi="Times New Roman" w:cs="Times New Roman"/>
          <w:sz w:val="24"/>
          <w:szCs w:val="24"/>
        </w:rPr>
        <w:t xml:space="preserve"> en </w:t>
      </w:r>
      <w:r w:rsidR="002348FE">
        <w:rPr>
          <w:rFonts w:ascii="Times New Roman" w:hAnsi="Times New Roman" w:cs="Times New Roman"/>
          <w:sz w:val="24"/>
          <w:szCs w:val="24"/>
        </w:rPr>
        <w:t>promedio</w:t>
      </w:r>
      <w:r>
        <w:rPr>
          <w:rFonts w:ascii="Times New Roman" w:hAnsi="Times New Roman" w:cs="Times New Roman"/>
          <w:sz w:val="24"/>
          <w:szCs w:val="24"/>
        </w:rPr>
        <w:t>, mientras que la formación de capital público representa el 28.1</w:t>
      </w:r>
      <w:r w:rsidR="008E0EC5">
        <w:rPr>
          <w:rFonts w:ascii="Times New Roman" w:hAnsi="Times New Roman" w:cs="Times New Roman"/>
          <w:sz w:val="24"/>
          <w:szCs w:val="24"/>
        </w:rPr>
        <w:t>%</w:t>
      </w:r>
      <w:r>
        <w:rPr>
          <w:rFonts w:ascii="Times New Roman" w:hAnsi="Times New Roman" w:cs="Times New Roman"/>
          <w:sz w:val="24"/>
          <w:szCs w:val="24"/>
        </w:rPr>
        <w:t xml:space="preserve">. Sin embargo, es importante hacer notar que la proporción de formación de capital privado se ha incrementado sustancialmente en el periodo, </w:t>
      </w:r>
      <w:r w:rsidR="008E0EC5">
        <w:rPr>
          <w:rFonts w:ascii="Times New Roman" w:hAnsi="Times New Roman" w:cs="Times New Roman"/>
          <w:sz w:val="24"/>
          <w:szCs w:val="24"/>
        </w:rPr>
        <w:t xml:space="preserve">al pasar de una proporción cercana a 50% a principios del periodo a una proporción superior a 80% en los años más recientes.  </w:t>
      </w:r>
    </w:p>
    <w:p w:rsidR="00734892" w:rsidRDefault="002348FE" w:rsidP="002348FE">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La evolución de las proporciones de capital público y privado en el periodo de estudio se muestra en la Gráfica 1.</w:t>
      </w:r>
    </w:p>
    <w:p w:rsidR="002348FE" w:rsidRPr="002348FE" w:rsidRDefault="002348FE" w:rsidP="002348FE">
      <w:pPr>
        <w:spacing w:before="240" w:line="240" w:lineRule="auto"/>
        <w:jc w:val="center"/>
        <w:rPr>
          <w:rFonts w:ascii="Times New Roman" w:hAnsi="Times New Roman" w:cs="Times New Roman"/>
          <w:b/>
          <w:sz w:val="24"/>
          <w:szCs w:val="24"/>
        </w:rPr>
      </w:pPr>
      <w:r w:rsidRPr="002348FE">
        <w:rPr>
          <w:rFonts w:ascii="Times New Roman" w:hAnsi="Times New Roman" w:cs="Times New Roman"/>
          <w:b/>
          <w:sz w:val="24"/>
          <w:szCs w:val="24"/>
        </w:rPr>
        <w:t>Gráfica 1</w:t>
      </w:r>
    </w:p>
    <w:p w:rsidR="002348FE" w:rsidRPr="002348FE" w:rsidRDefault="002348FE" w:rsidP="002348FE">
      <w:pPr>
        <w:spacing w:before="240" w:line="240" w:lineRule="auto"/>
        <w:jc w:val="center"/>
        <w:rPr>
          <w:rFonts w:ascii="Times New Roman" w:hAnsi="Times New Roman" w:cs="Times New Roman"/>
          <w:b/>
          <w:sz w:val="24"/>
          <w:szCs w:val="24"/>
        </w:rPr>
      </w:pPr>
      <w:r w:rsidRPr="002348FE">
        <w:rPr>
          <w:rFonts w:ascii="Times New Roman" w:hAnsi="Times New Roman" w:cs="Times New Roman"/>
          <w:b/>
          <w:sz w:val="24"/>
          <w:szCs w:val="24"/>
        </w:rPr>
        <w:t>Proporciones de la formación de capital público y privado</w:t>
      </w:r>
    </w:p>
    <w:p w:rsidR="002348FE" w:rsidRDefault="002348FE" w:rsidP="002348FE">
      <w:pPr>
        <w:spacing w:before="240" w:line="240" w:lineRule="auto"/>
        <w:jc w:val="center"/>
        <w:rPr>
          <w:rFonts w:ascii="Times New Roman" w:hAnsi="Times New Roman" w:cs="Times New Roman"/>
          <w:b/>
          <w:sz w:val="24"/>
          <w:szCs w:val="24"/>
        </w:rPr>
      </w:pPr>
      <w:r w:rsidRPr="002348FE">
        <w:rPr>
          <w:rFonts w:ascii="Times New Roman" w:hAnsi="Times New Roman" w:cs="Times New Roman"/>
          <w:b/>
          <w:sz w:val="24"/>
          <w:szCs w:val="24"/>
        </w:rPr>
        <w:t>1</w:t>
      </w:r>
      <w:r>
        <w:rPr>
          <w:rFonts w:ascii="Times New Roman" w:hAnsi="Times New Roman" w:cs="Times New Roman"/>
          <w:b/>
          <w:sz w:val="24"/>
          <w:szCs w:val="24"/>
        </w:rPr>
        <w:t>99</w:t>
      </w:r>
      <w:r w:rsidRPr="002348FE">
        <w:rPr>
          <w:rFonts w:ascii="Times New Roman" w:hAnsi="Times New Roman" w:cs="Times New Roman"/>
          <w:b/>
          <w:sz w:val="24"/>
          <w:szCs w:val="24"/>
        </w:rPr>
        <w:t>4-2015</w:t>
      </w:r>
    </w:p>
    <w:p w:rsidR="0092083A" w:rsidRDefault="00056598" w:rsidP="00863D0E">
      <w:pPr>
        <w:spacing w:before="240" w:line="240" w:lineRule="auto"/>
        <w:rPr>
          <w:rFonts w:ascii="Times New Roman" w:hAnsi="Times New Roman" w:cs="Times New Roman"/>
          <w:sz w:val="24"/>
          <w:szCs w:val="24"/>
        </w:rPr>
      </w:pPr>
      <w:r>
        <w:rPr>
          <w:noProof/>
          <w:lang w:val="es-ES" w:eastAsia="es-ES"/>
        </w:rPr>
        <w:lastRenderedPageBreak/>
        <w:drawing>
          <wp:inline distT="0" distB="0" distL="0" distR="0" wp14:anchorId="1EFCD1CD" wp14:editId="64095E44">
            <wp:extent cx="5610225" cy="3238500"/>
            <wp:effectExtent l="0" t="0" r="9525"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38CC" w:rsidRDefault="008638CC" w:rsidP="00863D0E">
      <w:pPr>
        <w:spacing w:before="240" w:line="240" w:lineRule="auto"/>
        <w:rPr>
          <w:rFonts w:ascii="Times New Roman" w:hAnsi="Times New Roman" w:cs="Times New Roman"/>
          <w:sz w:val="24"/>
          <w:szCs w:val="24"/>
        </w:rPr>
      </w:pPr>
    </w:p>
    <w:p w:rsidR="00634BBC" w:rsidRDefault="0092083A" w:rsidP="00834982">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El </w:t>
      </w:r>
      <w:r w:rsidR="00634BBC">
        <w:rPr>
          <w:rFonts w:ascii="Times New Roman" w:hAnsi="Times New Roman" w:cs="Times New Roman"/>
          <w:sz w:val="24"/>
          <w:szCs w:val="24"/>
        </w:rPr>
        <w:t>C</w:t>
      </w:r>
      <w:r>
        <w:rPr>
          <w:rFonts w:ascii="Times New Roman" w:hAnsi="Times New Roman" w:cs="Times New Roman"/>
          <w:sz w:val="24"/>
          <w:szCs w:val="24"/>
        </w:rPr>
        <w:t xml:space="preserve">uadro </w:t>
      </w:r>
      <w:r w:rsidR="008638CC">
        <w:rPr>
          <w:rFonts w:ascii="Times New Roman" w:hAnsi="Times New Roman" w:cs="Times New Roman"/>
          <w:sz w:val="24"/>
          <w:szCs w:val="24"/>
        </w:rPr>
        <w:t>1</w:t>
      </w:r>
      <w:r w:rsidR="006B2E07">
        <w:rPr>
          <w:rFonts w:ascii="Times New Roman" w:hAnsi="Times New Roman" w:cs="Times New Roman"/>
          <w:sz w:val="24"/>
          <w:szCs w:val="24"/>
        </w:rPr>
        <w:t xml:space="preserve"> muestra las tasas de crecimiento promedio de la formación de capital </w:t>
      </w:r>
      <w:r w:rsidR="00634BBC">
        <w:rPr>
          <w:rFonts w:ascii="Times New Roman" w:hAnsi="Times New Roman" w:cs="Times New Roman"/>
          <w:sz w:val="24"/>
          <w:szCs w:val="24"/>
        </w:rPr>
        <w:t>durante el periodo de transición presidencial. Se muestra la formación de capital total</w:t>
      </w:r>
      <w:r w:rsidR="006B2E07">
        <w:rPr>
          <w:rFonts w:ascii="Times New Roman" w:hAnsi="Times New Roman" w:cs="Times New Roman"/>
          <w:sz w:val="24"/>
          <w:szCs w:val="24"/>
        </w:rPr>
        <w:t xml:space="preserve"> (TOT), a</w:t>
      </w:r>
      <w:r w:rsidR="008638CC">
        <w:rPr>
          <w:rFonts w:ascii="Times New Roman" w:hAnsi="Times New Roman" w:cs="Times New Roman"/>
          <w:sz w:val="24"/>
          <w:szCs w:val="24"/>
        </w:rPr>
        <w:t xml:space="preserve">sí como la formación de capital público (PUB) y </w:t>
      </w:r>
      <w:r w:rsidR="006B2E07">
        <w:rPr>
          <w:rFonts w:ascii="Times New Roman" w:hAnsi="Times New Roman" w:cs="Times New Roman"/>
          <w:sz w:val="24"/>
          <w:szCs w:val="24"/>
        </w:rPr>
        <w:t>privado (PRIV)</w:t>
      </w:r>
      <w:r w:rsidR="002348FE">
        <w:rPr>
          <w:rFonts w:ascii="Times New Roman" w:hAnsi="Times New Roman" w:cs="Times New Roman"/>
          <w:sz w:val="24"/>
          <w:szCs w:val="24"/>
        </w:rPr>
        <w:t xml:space="preserve">. </w:t>
      </w:r>
    </w:p>
    <w:p w:rsidR="002348FE" w:rsidRDefault="002348FE" w:rsidP="00834982">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Se puede observar </w:t>
      </w:r>
      <w:r w:rsidR="00634BBC">
        <w:rPr>
          <w:rFonts w:ascii="Times New Roman" w:hAnsi="Times New Roman" w:cs="Times New Roman"/>
          <w:sz w:val="24"/>
          <w:szCs w:val="24"/>
        </w:rPr>
        <w:t>que</w:t>
      </w:r>
      <w:r>
        <w:rPr>
          <w:rFonts w:ascii="Times New Roman" w:hAnsi="Times New Roman" w:cs="Times New Roman"/>
          <w:sz w:val="24"/>
          <w:szCs w:val="24"/>
        </w:rPr>
        <w:t xml:space="preserve"> las tasas de crecimiento </w:t>
      </w:r>
      <w:r w:rsidR="00634BBC">
        <w:rPr>
          <w:rFonts w:ascii="Times New Roman" w:hAnsi="Times New Roman" w:cs="Times New Roman"/>
          <w:sz w:val="24"/>
          <w:szCs w:val="24"/>
        </w:rPr>
        <w:t>son positivas en el</w:t>
      </w:r>
      <w:r>
        <w:rPr>
          <w:rFonts w:ascii="Times New Roman" w:hAnsi="Times New Roman" w:cs="Times New Roman"/>
          <w:sz w:val="24"/>
          <w:szCs w:val="24"/>
        </w:rPr>
        <w:t xml:space="preserve"> último año de cada administración, con tasas cercanas a los dos dígitos</w:t>
      </w:r>
      <w:r w:rsidR="00634BBC">
        <w:rPr>
          <w:rFonts w:ascii="Times New Roman" w:hAnsi="Times New Roman" w:cs="Times New Roman"/>
          <w:sz w:val="24"/>
          <w:szCs w:val="24"/>
        </w:rPr>
        <w:t xml:space="preserve">. Este comportamiento se revierte durante el primer año de la administración siguiente, que </w:t>
      </w:r>
      <w:r>
        <w:rPr>
          <w:rFonts w:ascii="Times New Roman" w:hAnsi="Times New Roman" w:cs="Times New Roman"/>
          <w:sz w:val="24"/>
          <w:szCs w:val="24"/>
        </w:rPr>
        <w:t>en su mayoría presenta tasas negativas. La excepción es la formación de capital público, que presenta tasas negativas desde el último año de cada sexenio.</w:t>
      </w:r>
    </w:p>
    <w:p w:rsidR="008D65DD" w:rsidRDefault="006B2E07" w:rsidP="008638CC">
      <w:pPr>
        <w:spacing w:before="24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F3202F" w:rsidRPr="006B2E07" w:rsidRDefault="006B2E07" w:rsidP="00863D0E">
      <w:pPr>
        <w:spacing w:before="240" w:line="240" w:lineRule="auto"/>
        <w:jc w:val="center"/>
        <w:rPr>
          <w:rFonts w:ascii="Times New Roman" w:hAnsi="Times New Roman" w:cs="Times New Roman"/>
          <w:b/>
          <w:sz w:val="24"/>
          <w:szCs w:val="24"/>
        </w:rPr>
      </w:pPr>
      <w:r w:rsidRPr="006B2E07">
        <w:rPr>
          <w:rFonts w:ascii="Times New Roman" w:hAnsi="Times New Roman" w:cs="Times New Roman"/>
          <w:b/>
          <w:sz w:val="24"/>
          <w:szCs w:val="24"/>
        </w:rPr>
        <w:t xml:space="preserve">Cuadro </w:t>
      </w:r>
      <w:r w:rsidR="0021342E">
        <w:rPr>
          <w:rFonts w:ascii="Times New Roman" w:hAnsi="Times New Roman" w:cs="Times New Roman"/>
          <w:b/>
          <w:sz w:val="24"/>
          <w:szCs w:val="24"/>
        </w:rPr>
        <w:t>1</w:t>
      </w:r>
    </w:p>
    <w:p w:rsidR="006B2E07" w:rsidRPr="006B2E07" w:rsidRDefault="006B2E07" w:rsidP="00863D0E">
      <w:pPr>
        <w:spacing w:before="240" w:line="240" w:lineRule="auto"/>
        <w:jc w:val="center"/>
        <w:rPr>
          <w:rFonts w:ascii="Times New Roman" w:hAnsi="Times New Roman" w:cs="Times New Roman"/>
          <w:b/>
          <w:sz w:val="24"/>
          <w:szCs w:val="24"/>
        </w:rPr>
      </w:pPr>
      <w:r w:rsidRPr="006B2E07">
        <w:rPr>
          <w:rFonts w:ascii="Times New Roman" w:hAnsi="Times New Roman" w:cs="Times New Roman"/>
          <w:b/>
          <w:sz w:val="24"/>
          <w:szCs w:val="24"/>
        </w:rPr>
        <w:t>Tasas de crecimiento promedio en los trimestres de transición presidencial</w:t>
      </w:r>
    </w:p>
    <w:p w:rsidR="006B2E07" w:rsidRPr="006B2E07" w:rsidRDefault="006B2E07" w:rsidP="00863D0E">
      <w:pPr>
        <w:spacing w:before="240" w:line="240" w:lineRule="auto"/>
        <w:jc w:val="center"/>
        <w:rPr>
          <w:rFonts w:ascii="Times New Roman" w:hAnsi="Times New Roman" w:cs="Times New Roman"/>
          <w:b/>
          <w:sz w:val="24"/>
          <w:szCs w:val="24"/>
        </w:rPr>
      </w:pPr>
      <w:r w:rsidRPr="006B2E07">
        <w:rPr>
          <w:rFonts w:ascii="Times New Roman" w:hAnsi="Times New Roman" w:cs="Times New Roman"/>
          <w:b/>
          <w:sz w:val="24"/>
          <w:szCs w:val="24"/>
        </w:rPr>
        <w:t xml:space="preserve">Formación de capital total, </w:t>
      </w:r>
      <w:r w:rsidR="0021342E">
        <w:rPr>
          <w:rFonts w:ascii="Times New Roman" w:hAnsi="Times New Roman" w:cs="Times New Roman"/>
          <w:b/>
          <w:sz w:val="24"/>
          <w:szCs w:val="24"/>
        </w:rPr>
        <w:t>pública y priv</w:t>
      </w:r>
      <w:r w:rsidR="008638CC">
        <w:rPr>
          <w:rFonts w:ascii="Times New Roman" w:hAnsi="Times New Roman" w:cs="Times New Roman"/>
          <w:b/>
          <w:sz w:val="24"/>
          <w:szCs w:val="24"/>
        </w:rPr>
        <w:t>a</w:t>
      </w:r>
      <w:r w:rsidR="0021342E">
        <w:rPr>
          <w:rFonts w:ascii="Times New Roman" w:hAnsi="Times New Roman" w:cs="Times New Roman"/>
          <w:b/>
          <w:sz w:val="24"/>
          <w:szCs w:val="24"/>
        </w:rPr>
        <w:t>da</w:t>
      </w:r>
    </w:p>
    <w:p w:rsidR="0094759F" w:rsidRDefault="008638CC" w:rsidP="00863D0E">
      <w:pPr>
        <w:spacing w:before="240" w:line="240" w:lineRule="auto"/>
        <w:jc w:val="center"/>
        <w:rPr>
          <w:rFonts w:ascii="Times New Roman" w:hAnsi="Times New Roman" w:cs="Times New Roman"/>
          <w:sz w:val="24"/>
          <w:szCs w:val="24"/>
        </w:rPr>
      </w:pPr>
      <w:r w:rsidRPr="008638CC">
        <w:rPr>
          <w:noProof/>
          <w:lang w:val="es-ES" w:eastAsia="es-ES"/>
        </w:rPr>
        <w:lastRenderedPageBreak/>
        <w:drawing>
          <wp:inline distT="0" distB="0" distL="0" distR="0">
            <wp:extent cx="3975653" cy="18288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1925" cy="1827085"/>
                    </a:xfrm>
                    <a:prstGeom prst="rect">
                      <a:avLst/>
                    </a:prstGeom>
                    <a:noFill/>
                    <a:ln>
                      <a:noFill/>
                    </a:ln>
                  </pic:spPr>
                </pic:pic>
              </a:graphicData>
            </a:graphic>
          </wp:inline>
        </w:drawing>
      </w:r>
    </w:p>
    <w:p w:rsidR="00634BBC" w:rsidRDefault="00634BBC" w:rsidP="00863D0E">
      <w:pPr>
        <w:spacing w:before="240" w:line="240" w:lineRule="auto"/>
        <w:rPr>
          <w:rFonts w:ascii="Times New Roman" w:hAnsi="Times New Roman" w:cs="Times New Roman"/>
          <w:b/>
          <w:sz w:val="24"/>
          <w:szCs w:val="24"/>
        </w:rPr>
      </w:pPr>
    </w:p>
    <w:p w:rsidR="00CB5F28" w:rsidRPr="00551A9B" w:rsidRDefault="00EF49CD" w:rsidP="00863D0E">
      <w:pPr>
        <w:spacing w:before="240" w:line="240" w:lineRule="auto"/>
        <w:rPr>
          <w:rFonts w:ascii="Times New Roman" w:hAnsi="Times New Roman" w:cs="Times New Roman"/>
          <w:b/>
          <w:sz w:val="24"/>
          <w:szCs w:val="24"/>
        </w:rPr>
      </w:pPr>
      <w:r>
        <w:rPr>
          <w:rFonts w:ascii="Times New Roman" w:hAnsi="Times New Roman" w:cs="Times New Roman"/>
          <w:b/>
          <w:sz w:val="24"/>
          <w:szCs w:val="24"/>
        </w:rPr>
        <w:t>5</w:t>
      </w:r>
      <w:r w:rsidR="008D65DD">
        <w:rPr>
          <w:rFonts w:ascii="Times New Roman" w:hAnsi="Times New Roman" w:cs="Times New Roman"/>
          <w:b/>
          <w:sz w:val="24"/>
          <w:szCs w:val="24"/>
        </w:rPr>
        <w:t xml:space="preserve">.- </w:t>
      </w:r>
      <w:r w:rsidR="00CB5F28" w:rsidRPr="00551A9B">
        <w:rPr>
          <w:rFonts w:ascii="Times New Roman" w:hAnsi="Times New Roman" w:cs="Times New Roman"/>
          <w:b/>
          <w:sz w:val="24"/>
          <w:szCs w:val="24"/>
        </w:rPr>
        <w:t>Análisis econométrico</w:t>
      </w:r>
    </w:p>
    <w:p w:rsidR="00611280" w:rsidRPr="001E27D9" w:rsidRDefault="00EF49CD" w:rsidP="00863D0E">
      <w:pPr>
        <w:spacing w:before="240" w:line="240" w:lineRule="auto"/>
        <w:rPr>
          <w:rFonts w:ascii="Times New Roman" w:hAnsi="Times New Roman"/>
          <w:b/>
          <w:sz w:val="24"/>
          <w:szCs w:val="24"/>
        </w:rPr>
      </w:pPr>
      <w:r>
        <w:rPr>
          <w:rFonts w:ascii="Times New Roman" w:hAnsi="Times New Roman"/>
          <w:b/>
          <w:sz w:val="24"/>
          <w:szCs w:val="24"/>
        </w:rPr>
        <w:t>5.1</w:t>
      </w:r>
      <w:r w:rsidR="00611280" w:rsidRPr="001E27D9">
        <w:rPr>
          <w:rFonts w:ascii="Times New Roman" w:hAnsi="Times New Roman"/>
          <w:b/>
          <w:sz w:val="24"/>
          <w:szCs w:val="24"/>
        </w:rPr>
        <w:t>.- El estudio de eventos</w:t>
      </w:r>
    </w:p>
    <w:p w:rsidR="00611280" w:rsidRPr="00D71108" w:rsidRDefault="00611280" w:rsidP="00863D0E">
      <w:pPr>
        <w:spacing w:before="240" w:line="240" w:lineRule="auto"/>
        <w:ind w:firstLine="708"/>
        <w:rPr>
          <w:rFonts w:ascii="Times New Roman" w:hAnsi="Times New Roman"/>
          <w:sz w:val="24"/>
          <w:szCs w:val="24"/>
        </w:rPr>
      </w:pPr>
      <w:r w:rsidRPr="00D71108">
        <w:rPr>
          <w:rFonts w:ascii="Times New Roman" w:hAnsi="Times New Roman"/>
          <w:sz w:val="24"/>
          <w:szCs w:val="24"/>
        </w:rPr>
        <w:t>El estudio de eventos es una metodología que permite identificar los efectos de un evento determinado en el comportamiento de alguna variable económica o financiera. Generalmente</w:t>
      </w:r>
      <w:r>
        <w:rPr>
          <w:rFonts w:ascii="Times New Roman" w:hAnsi="Times New Roman"/>
          <w:sz w:val="24"/>
          <w:szCs w:val="24"/>
        </w:rPr>
        <w:t>,</w:t>
      </w:r>
      <w:r w:rsidRPr="00D71108">
        <w:rPr>
          <w:rFonts w:ascii="Times New Roman" w:hAnsi="Times New Roman"/>
          <w:sz w:val="24"/>
          <w:szCs w:val="24"/>
        </w:rPr>
        <w:t xml:space="preserve"> consiste en definir una ventana de observación antes y después del evento en </w:t>
      </w:r>
      <w:r>
        <w:rPr>
          <w:rFonts w:ascii="Times New Roman" w:hAnsi="Times New Roman"/>
          <w:sz w:val="24"/>
          <w:szCs w:val="24"/>
        </w:rPr>
        <w:t xml:space="preserve">cuestión, </w:t>
      </w:r>
      <w:r w:rsidRPr="00D71108">
        <w:rPr>
          <w:rFonts w:ascii="Times New Roman" w:hAnsi="Times New Roman"/>
          <w:sz w:val="24"/>
          <w:szCs w:val="24"/>
        </w:rPr>
        <w:t>y medir el comportamiento de la variable en ese periodo para detectar si hay diferencias significativas en el comportamiento antes y después del evento. Habitualmente la variable a medir es el llamado “rendimiento anormal”; es decir, aquel que supera los rendimientos del mercado en el periodo de observación</w:t>
      </w:r>
      <w:r>
        <w:rPr>
          <w:rFonts w:ascii="Times New Roman" w:hAnsi="Times New Roman"/>
          <w:sz w:val="24"/>
          <w:szCs w:val="24"/>
        </w:rPr>
        <w:t>.</w:t>
      </w:r>
    </w:p>
    <w:p w:rsidR="00611280" w:rsidRPr="00D71108" w:rsidRDefault="00611280" w:rsidP="00863D0E">
      <w:pPr>
        <w:spacing w:before="240" w:line="240" w:lineRule="auto"/>
        <w:ind w:firstLine="708"/>
        <w:rPr>
          <w:rFonts w:ascii="Times New Roman" w:hAnsi="Times New Roman"/>
          <w:sz w:val="24"/>
          <w:szCs w:val="24"/>
        </w:rPr>
      </w:pPr>
      <w:r w:rsidRPr="00D71108">
        <w:rPr>
          <w:rFonts w:ascii="Times New Roman" w:hAnsi="Times New Roman"/>
          <w:sz w:val="24"/>
          <w:szCs w:val="24"/>
        </w:rPr>
        <w:t>Esta metodología ha sido extensivamente usada en las finanzas, en donde la variable bajo observación son los rendimientos de las acciones y los eventos utilizados son eventos corporativos: anuncio</w:t>
      </w:r>
      <w:r>
        <w:rPr>
          <w:rFonts w:ascii="Times New Roman" w:hAnsi="Times New Roman"/>
          <w:sz w:val="24"/>
          <w:szCs w:val="24"/>
        </w:rPr>
        <w:t xml:space="preserve">s de ganancias (o pérdidas) de </w:t>
      </w:r>
      <w:r w:rsidRPr="00D71108">
        <w:rPr>
          <w:rFonts w:ascii="Times New Roman" w:hAnsi="Times New Roman"/>
          <w:sz w:val="24"/>
          <w:szCs w:val="24"/>
        </w:rPr>
        <w:t>las compañías, anuncios de fusiones y adquisiciones, cambios en la política de dividendos y otros de esa naturaleza.</w:t>
      </w:r>
    </w:p>
    <w:p w:rsidR="00611280" w:rsidRPr="00D71108" w:rsidRDefault="00611280" w:rsidP="00863D0E">
      <w:pPr>
        <w:spacing w:before="240" w:line="240" w:lineRule="auto"/>
        <w:ind w:firstLine="708"/>
        <w:rPr>
          <w:rFonts w:ascii="Times New Roman" w:hAnsi="Times New Roman"/>
          <w:sz w:val="24"/>
          <w:szCs w:val="24"/>
        </w:rPr>
      </w:pPr>
      <w:r w:rsidRPr="00D71108">
        <w:rPr>
          <w:rFonts w:ascii="Times New Roman" w:hAnsi="Times New Roman"/>
          <w:sz w:val="24"/>
          <w:szCs w:val="24"/>
        </w:rPr>
        <w:t xml:space="preserve">Una referencia clásica en la metodología de </w:t>
      </w:r>
      <w:r>
        <w:rPr>
          <w:rFonts w:ascii="Times New Roman" w:hAnsi="Times New Roman"/>
          <w:sz w:val="24"/>
          <w:szCs w:val="24"/>
        </w:rPr>
        <w:t xml:space="preserve">estudio de eventos es </w:t>
      </w:r>
      <w:proofErr w:type="spellStart"/>
      <w:r>
        <w:rPr>
          <w:rFonts w:ascii="Times New Roman" w:hAnsi="Times New Roman"/>
          <w:sz w:val="24"/>
          <w:szCs w:val="24"/>
        </w:rPr>
        <w:t>MacKinlay</w:t>
      </w:r>
      <w:proofErr w:type="spellEnd"/>
      <w:r>
        <w:rPr>
          <w:rFonts w:ascii="Times New Roman" w:hAnsi="Times New Roman"/>
          <w:sz w:val="24"/>
          <w:szCs w:val="24"/>
        </w:rPr>
        <w:t xml:space="preserve"> </w:t>
      </w:r>
      <w:r w:rsidRPr="00D71108">
        <w:rPr>
          <w:rFonts w:ascii="Times New Roman" w:hAnsi="Times New Roman"/>
          <w:sz w:val="24"/>
          <w:szCs w:val="24"/>
        </w:rPr>
        <w:t>(1997), en donde explica los principales métodos y recomendaciones para realizar estudios de eventos en finanzas y economía.</w:t>
      </w:r>
    </w:p>
    <w:p w:rsidR="00611280" w:rsidRPr="00D71108" w:rsidRDefault="00611280" w:rsidP="00863D0E">
      <w:pPr>
        <w:spacing w:before="240" w:line="240" w:lineRule="auto"/>
        <w:ind w:firstLine="708"/>
        <w:rPr>
          <w:rFonts w:ascii="Times New Roman" w:hAnsi="Times New Roman"/>
          <w:sz w:val="24"/>
          <w:szCs w:val="24"/>
        </w:rPr>
      </w:pPr>
      <w:proofErr w:type="gramStart"/>
      <w:r w:rsidRPr="00D71108">
        <w:rPr>
          <w:rFonts w:ascii="Times New Roman" w:hAnsi="Times New Roman"/>
          <w:sz w:val="24"/>
          <w:szCs w:val="24"/>
        </w:rPr>
        <w:t>Una</w:t>
      </w:r>
      <w:proofErr w:type="gramEnd"/>
      <w:r w:rsidRPr="00D71108">
        <w:rPr>
          <w:rFonts w:ascii="Times New Roman" w:hAnsi="Times New Roman"/>
          <w:sz w:val="24"/>
          <w:szCs w:val="24"/>
        </w:rPr>
        <w:t xml:space="preserve"> </w:t>
      </w:r>
      <w:r w:rsidR="00634BBC">
        <w:rPr>
          <w:rFonts w:ascii="Times New Roman" w:hAnsi="Times New Roman"/>
          <w:sz w:val="24"/>
          <w:szCs w:val="24"/>
        </w:rPr>
        <w:t>caso</w:t>
      </w:r>
      <w:r w:rsidRPr="00D71108">
        <w:rPr>
          <w:rFonts w:ascii="Times New Roman" w:hAnsi="Times New Roman"/>
          <w:sz w:val="24"/>
          <w:szCs w:val="24"/>
        </w:rPr>
        <w:t xml:space="preserve"> de aplicación del estudio de eventos en un contexto de ciclo político económico es </w:t>
      </w:r>
      <w:proofErr w:type="spellStart"/>
      <w:r w:rsidRPr="00D71108">
        <w:rPr>
          <w:rFonts w:ascii="Times New Roman" w:hAnsi="Times New Roman"/>
          <w:sz w:val="24"/>
          <w:szCs w:val="24"/>
        </w:rPr>
        <w:t>Sibley</w:t>
      </w:r>
      <w:proofErr w:type="spellEnd"/>
      <w:r w:rsidRPr="00D71108">
        <w:rPr>
          <w:rFonts w:ascii="Times New Roman" w:hAnsi="Times New Roman"/>
          <w:sz w:val="24"/>
          <w:szCs w:val="24"/>
        </w:rPr>
        <w:t xml:space="preserve"> (2001). Este autor examina el comportamiento del tipo de cambio nominal en quince países latinoamericanos entre 1982 y 1996, en el cual se llevaron a cabo 41 elecciones presidenciales.</w:t>
      </w:r>
    </w:p>
    <w:p w:rsidR="00611280" w:rsidRDefault="00611280" w:rsidP="00863D0E">
      <w:pPr>
        <w:spacing w:before="240" w:line="240" w:lineRule="auto"/>
        <w:ind w:firstLine="708"/>
        <w:rPr>
          <w:rFonts w:ascii="Times New Roman" w:hAnsi="Times New Roman"/>
          <w:sz w:val="24"/>
          <w:szCs w:val="24"/>
        </w:rPr>
      </w:pPr>
      <w:r w:rsidRPr="00D71108">
        <w:rPr>
          <w:rFonts w:ascii="Times New Roman" w:hAnsi="Times New Roman"/>
          <w:sz w:val="24"/>
          <w:szCs w:val="24"/>
        </w:rPr>
        <w:t>La hipótesis principal es que las monedas ti</w:t>
      </w:r>
      <w:r>
        <w:rPr>
          <w:rFonts w:ascii="Times New Roman" w:hAnsi="Times New Roman"/>
          <w:sz w:val="24"/>
          <w:szCs w:val="24"/>
        </w:rPr>
        <w:t xml:space="preserve">enden a apreciarse antes de las </w:t>
      </w:r>
      <w:r w:rsidRPr="00D71108">
        <w:rPr>
          <w:rFonts w:ascii="Times New Roman" w:hAnsi="Times New Roman"/>
          <w:sz w:val="24"/>
          <w:szCs w:val="24"/>
        </w:rPr>
        <w:t>elecciones y a depreciarse después de ellas. La ventana</w:t>
      </w:r>
      <w:r>
        <w:rPr>
          <w:rFonts w:ascii="Times New Roman" w:hAnsi="Times New Roman"/>
          <w:sz w:val="24"/>
          <w:szCs w:val="24"/>
        </w:rPr>
        <w:t xml:space="preserve"> de observación es de 61 meses </w:t>
      </w:r>
      <w:r w:rsidRPr="00D71108">
        <w:rPr>
          <w:rFonts w:ascii="Times New Roman" w:hAnsi="Times New Roman"/>
          <w:sz w:val="24"/>
          <w:szCs w:val="24"/>
        </w:rPr>
        <w:t>alrededor de las elecciones, 36 meses antes y 24 meses después de los comicios.</w:t>
      </w:r>
      <w:r w:rsidR="00834982">
        <w:rPr>
          <w:rFonts w:ascii="Times New Roman" w:hAnsi="Times New Roman"/>
          <w:sz w:val="24"/>
          <w:szCs w:val="24"/>
        </w:rPr>
        <w:t xml:space="preserve"> </w:t>
      </w:r>
      <w:r w:rsidRPr="00D71108">
        <w:rPr>
          <w:rFonts w:ascii="Times New Roman" w:hAnsi="Times New Roman"/>
          <w:sz w:val="24"/>
          <w:szCs w:val="24"/>
        </w:rPr>
        <w:t>El hallazgo principal es que, efectivamente, las monedas latinoamericanas tienden a depreciarse después de las elecciones y, en es</w:t>
      </w:r>
      <w:r>
        <w:rPr>
          <w:rFonts w:ascii="Times New Roman" w:hAnsi="Times New Roman"/>
          <w:sz w:val="24"/>
          <w:szCs w:val="24"/>
        </w:rPr>
        <w:t xml:space="preserve">pecial, después de que la nueva </w:t>
      </w:r>
      <w:r w:rsidRPr="00D71108">
        <w:rPr>
          <w:rFonts w:ascii="Times New Roman" w:hAnsi="Times New Roman"/>
          <w:sz w:val="24"/>
          <w:szCs w:val="24"/>
        </w:rPr>
        <w:t>administración presidencial entra en funciones.</w:t>
      </w:r>
    </w:p>
    <w:p w:rsidR="00B07068" w:rsidRPr="00616653" w:rsidRDefault="00B07068" w:rsidP="00863D0E">
      <w:pPr>
        <w:spacing w:before="240" w:line="240" w:lineRule="auto"/>
        <w:ind w:firstLine="708"/>
        <w:rPr>
          <w:rFonts w:ascii="Times New Roman" w:hAnsi="Times New Roman" w:cs="Times New Roman"/>
          <w:sz w:val="24"/>
          <w:szCs w:val="24"/>
        </w:rPr>
      </w:pPr>
      <w:r w:rsidRPr="00616653">
        <w:rPr>
          <w:rFonts w:ascii="Times New Roman" w:hAnsi="Times New Roman" w:cs="Times New Roman"/>
          <w:sz w:val="24"/>
          <w:szCs w:val="24"/>
        </w:rPr>
        <w:lastRenderedPageBreak/>
        <w:t xml:space="preserve">Según </w:t>
      </w:r>
      <w:proofErr w:type="spellStart"/>
      <w:r w:rsidRPr="00616653">
        <w:rPr>
          <w:rFonts w:ascii="Times New Roman" w:hAnsi="Times New Roman" w:cs="Times New Roman"/>
          <w:sz w:val="24"/>
          <w:szCs w:val="24"/>
        </w:rPr>
        <w:t>MacKinlay</w:t>
      </w:r>
      <w:proofErr w:type="spellEnd"/>
      <w:r w:rsidRPr="00616653">
        <w:rPr>
          <w:rFonts w:ascii="Times New Roman" w:hAnsi="Times New Roman" w:cs="Times New Roman"/>
          <w:sz w:val="24"/>
          <w:szCs w:val="24"/>
        </w:rPr>
        <w:t xml:space="preserve"> (1997), la apreciación del impacto de un evento requiere de una medida de rendimientos anormales, es decir, el rendimiento actual </w:t>
      </w:r>
      <w:r w:rsidRPr="00616653">
        <w:rPr>
          <w:rFonts w:ascii="Times New Roman" w:hAnsi="Times New Roman" w:cs="Times New Roman"/>
          <w:i/>
          <w:sz w:val="24"/>
          <w:szCs w:val="24"/>
        </w:rPr>
        <w:t>ex post</w:t>
      </w:r>
      <w:r w:rsidRPr="00616653">
        <w:rPr>
          <w:rFonts w:ascii="Times New Roman" w:hAnsi="Times New Roman" w:cs="Times New Roman"/>
          <w:sz w:val="24"/>
          <w:szCs w:val="24"/>
        </w:rPr>
        <w:t xml:space="preserve"> en la ventana del evento menos el rendimiento normal, donde el rendimiento normal se define como el rendimiento esperado suponiendo que el evento no sucede, matemáticamente:</w:t>
      </w:r>
    </w:p>
    <w:p w:rsidR="00B07068" w:rsidRPr="00616653" w:rsidRDefault="00C73FB9" w:rsidP="00863D0E">
      <w:pPr>
        <w:spacing w:before="240" w:line="24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AR</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e>
          </m:d>
        </m:oMath>
      </m:oMathPara>
    </w:p>
    <w:p w:rsidR="00B07068" w:rsidRPr="00616653" w:rsidRDefault="00B07068" w:rsidP="00863D0E">
      <w:pPr>
        <w:spacing w:before="240" w:line="240" w:lineRule="auto"/>
        <w:rPr>
          <w:rFonts w:ascii="Times New Roman" w:eastAsiaTheme="minorEastAsia" w:hAnsi="Times New Roman" w:cs="Times New Roman"/>
          <w:sz w:val="24"/>
          <w:szCs w:val="24"/>
        </w:rPr>
      </w:pPr>
      <w:r w:rsidRPr="00616653">
        <w:rPr>
          <w:rFonts w:ascii="Times New Roman" w:eastAsiaTheme="minorEastAsia" w:hAnsi="Times New Roman" w:cs="Times New Roman"/>
          <w:sz w:val="24"/>
          <w:szCs w:val="24"/>
        </w:rPr>
        <w:t>Dónde:</w:t>
      </w:r>
    </w:p>
    <w:p w:rsidR="00B07068" w:rsidRPr="00616653" w:rsidRDefault="00C73FB9" w:rsidP="00863D0E">
      <w:pPr>
        <w:pStyle w:val="Prrafodelista"/>
        <w:numPr>
          <w:ilvl w:val="0"/>
          <w:numId w:val="1"/>
        </w:numPr>
        <w:spacing w:before="24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AR</m:t>
            </m:r>
          </m:e>
          <m:sub>
            <m:r>
              <w:rPr>
                <w:rFonts w:ascii="Cambria Math" w:hAnsi="Cambria Math" w:cs="Times New Roman"/>
                <w:sz w:val="24"/>
                <w:szCs w:val="24"/>
              </w:rPr>
              <m:t>it</m:t>
            </m:r>
          </m:sub>
        </m:sSub>
        <m:r>
          <w:rPr>
            <w:rFonts w:ascii="Cambria Math" w:hAnsi="Cambria Math" w:cs="Times New Roman"/>
            <w:sz w:val="24"/>
            <w:szCs w:val="24"/>
          </w:rPr>
          <m:t>=</m:t>
        </m:r>
      </m:oMath>
      <w:r w:rsidR="00B07068" w:rsidRPr="00616653">
        <w:rPr>
          <w:rFonts w:ascii="Times New Roman" w:eastAsiaTheme="minorEastAsia" w:hAnsi="Times New Roman" w:cs="Times New Roman"/>
          <w:sz w:val="24"/>
          <w:szCs w:val="24"/>
        </w:rPr>
        <w:t xml:space="preserve"> Rendimiento anormal en el periodo t.</w:t>
      </w:r>
    </w:p>
    <w:p w:rsidR="00B07068" w:rsidRPr="00616653" w:rsidRDefault="00C73FB9" w:rsidP="00863D0E">
      <w:pPr>
        <w:pStyle w:val="Prrafodelista"/>
        <w:numPr>
          <w:ilvl w:val="0"/>
          <w:numId w:val="1"/>
        </w:numPr>
        <w:spacing w:before="240" w:line="240" w:lineRule="auto"/>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it</m:t>
            </m:r>
          </m:sub>
        </m:sSub>
        <m:r>
          <w:rPr>
            <w:rFonts w:ascii="Cambria Math" w:eastAsiaTheme="minorEastAsia" w:hAnsi="Cambria Math" w:cs="Times New Roman"/>
            <w:sz w:val="24"/>
            <w:szCs w:val="24"/>
          </w:rPr>
          <m:t>=</m:t>
        </m:r>
      </m:oMath>
      <w:r w:rsidR="00B07068" w:rsidRPr="00616653">
        <w:rPr>
          <w:rFonts w:ascii="Times New Roman" w:eastAsiaTheme="minorEastAsia" w:hAnsi="Times New Roman" w:cs="Times New Roman"/>
          <w:sz w:val="24"/>
          <w:szCs w:val="24"/>
        </w:rPr>
        <w:t xml:space="preserve"> Rendimiento actual en el periodo t.</w:t>
      </w:r>
    </w:p>
    <w:p w:rsidR="00B07068" w:rsidRPr="00616653" w:rsidRDefault="00B07068" w:rsidP="00863D0E">
      <w:pPr>
        <w:pStyle w:val="Prrafodelista"/>
        <w:numPr>
          <w:ilvl w:val="0"/>
          <w:numId w:val="1"/>
        </w:numPr>
        <w:spacing w:before="240" w:line="240" w:lineRule="auto"/>
        <w:rPr>
          <w:rFonts w:ascii="Times New Roman" w:hAnsi="Times New Roman" w:cs="Times New Roman"/>
          <w:sz w:val="24"/>
          <w:szCs w:val="24"/>
        </w:rPr>
      </w:pP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it</m:t>
                </m:r>
              </m:sub>
            </m:sSub>
          </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e>
        </m:d>
        <m:r>
          <w:rPr>
            <w:rFonts w:ascii="Cambria Math" w:eastAsiaTheme="minorEastAsia" w:hAnsi="Cambria Math" w:cs="Times New Roman"/>
            <w:sz w:val="24"/>
            <w:szCs w:val="24"/>
          </w:rPr>
          <m:t>=</m:t>
        </m:r>
      </m:oMath>
      <w:r w:rsidRPr="00616653">
        <w:rPr>
          <w:rFonts w:ascii="Times New Roman" w:eastAsiaTheme="minorEastAsia" w:hAnsi="Times New Roman" w:cs="Times New Roman"/>
          <w:sz w:val="24"/>
          <w:szCs w:val="24"/>
        </w:rPr>
        <w:t xml:space="preserve"> Rendimiento normal en el periodo t.</w:t>
      </w:r>
    </w:p>
    <w:p w:rsidR="00B07068" w:rsidRPr="00616653" w:rsidRDefault="00C73FB9" w:rsidP="00863D0E">
      <w:pPr>
        <w:pStyle w:val="Prrafodelista"/>
        <w:numPr>
          <w:ilvl w:val="0"/>
          <w:numId w:val="1"/>
        </w:numPr>
        <w:spacing w:before="240"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oMath>
      <w:r w:rsidR="00B07068" w:rsidRPr="00616653">
        <w:rPr>
          <w:rFonts w:ascii="Times New Roman" w:eastAsiaTheme="minorEastAsia" w:hAnsi="Times New Roman" w:cs="Times New Roman"/>
          <w:sz w:val="24"/>
          <w:szCs w:val="24"/>
        </w:rPr>
        <w:t xml:space="preserve"> Información condicional para el modelo de rendimiento normal.</w:t>
      </w:r>
    </w:p>
    <w:p w:rsidR="00B07068" w:rsidRPr="00616653" w:rsidRDefault="00B07068" w:rsidP="00863D0E">
      <w:pPr>
        <w:spacing w:before="240" w:line="240" w:lineRule="auto"/>
        <w:ind w:firstLine="360"/>
        <w:jc w:val="both"/>
        <w:rPr>
          <w:rFonts w:ascii="Times New Roman" w:hAnsi="Times New Roman" w:cs="Times New Roman"/>
          <w:sz w:val="24"/>
          <w:szCs w:val="24"/>
        </w:rPr>
      </w:pPr>
      <w:r w:rsidRPr="00616653">
        <w:rPr>
          <w:rFonts w:ascii="Times New Roman" w:hAnsi="Times New Roman" w:cs="Times New Roman"/>
          <w:sz w:val="24"/>
          <w:szCs w:val="24"/>
        </w:rPr>
        <w:t xml:space="preserve">Existen dos opciones tradicionales para modelar el rendimiento normal, el modelo de rendimiento de media constante, donde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oMath>
      <w:r w:rsidRPr="00616653">
        <w:rPr>
          <w:rFonts w:ascii="Times New Roman" w:hAnsi="Times New Roman" w:cs="Times New Roman"/>
          <w:sz w:val="24"/>
          <w:szCs w:val="24"/>
        </w:rPr>
        <w:t xml:space="preserve"> es constante; y el modelo de mercado, donde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t</m:t>
            </m:r>
          </m:sub>
        </m:sSub>
      </m:oMath>
      <w:r w:rsidRPr="00616653">
        <w:rPr>
          <w:rFonts w:ascii="Times New Roman" w:hAnsi="Times New Roman" w:cs="Times New Roman"/>
          <w:sz w:val="24"/>
          <w:szCs w:val="24"/>
        </w:rPr>
        <w:t xml:space="preserve"> es el rendimiento del mercado.</w:t>
      </w:r>
    </w:p>
    <w:p w:rsidR="00B07068" w:rsidRPr="00616653" w:rsidRDefault="00B07068" w:rsidP="00863D0E">
      <w:pPr>
        <w:spacing w:before="240" w:line="240" w:lineRule="auto"/>
        <w:ind w:firstLine="360"/>
        <w:jc w:val="both"/>
        <w:rPr>
          <w:rFonts w:ascii="Times New Roman" w:hAnsi="Times New Roman" w:cs="Times New Roman"/>
          <w:sz w:val="24"/>
          <w:szCs w:val="24"/>
        </w:rPr>
      </w:pPr>
      <w:r w:rsidRPr="00616653">
        <w:rPr>
          <w:rFonts w:ascii="Times New Roman" w:hAnsi="Times New Roman" w:cs="Times New Roman"/>
          <w:sz w:val="24"/>
          <w:szCs w:val="24"/>
        </w:rPr>
        <w:t>Posteriormente, una vez definido el modelo de rendimiento normal, se procede a calcular el rendimiento normal con la información disponible para los días, semanas, meses o trimestres previos al evento, según corresponda con la periodicidad de la información disponible.</w:t>
      </w:r>
    </w:p>
    <w:p w:rsidR="00B07068" w:rsidRPr="00616653" w:rsidRDefault="00B07068" w:rsidP="00863D0E">
      <w:pPr>
        <w:spacing w:before="240" w:line="240" w:lineRule="auto"/>
        <w:ind w:firstLine="360"/>
        <w:jc w:val="both"/>
        <w:rPr>
          <w:rFonts w:ascii="Times New Roman" w:hAnsi="Times New Roman" w:cs="Times New Roman"/>
          <w:sz w:val="24"/>
          <w:szCs w:val="24"/>
        </w:rPr>
      </w:pPr>
      <w:r w:rsidRPr="00616653">
        <w:rPr>
          <w:rFonts w:ascii="Times New Roman" w:hAnsi="Times New Roman" w:cs="Times New Roman"/>
          <w:sz w:val="24"/>
          <w:szCs w:val="24"/>
        </w:rPr>
        <w:t>Por último, una vez calculado el rendimiento normal, se estima el rendimiento anormal, y se diseña el proceso estadístico correspondiente para probar que las diferencias entre ambos rendimientos sean significativas y relacionadas con en el evento de interés.</w:t>
      </w:r>
    </w:p>
    <w:p w:rsidR="00B07068" w:rsidRPr="00616653" w:rsidRDefault="00B07068" w:rsidP="00863D0E">
      <w:pPr>
        <w:spacing w:before="240" w:line="240" w:lineRule="auto"/>
        <w:ind w:firstLine="360"/>
        <w:jc w:val="both"/>
        <w:rPr>
          <w:rFonts w:ascii="Times New Roman" w:hAnsi="Times New Roman" w:cs="Times New Roman"/>
          <w:sz w:val="24"/>
          <w:szCs w:val="24"/>
        </w:rPr>
      </w:pPr>
      <w:r w:rsidRPr="00616653">
        <w:rPr>
          <w:rFonts w:ascii="Times New Roman" w:hAnsi="Times New Roman" w:cs="Times New Roman"/>
          <w:sz w:val="24"/>
          <w:szCs w:val="24"/>
        </w:rPr>
        <w:t>Nótese que en el presente trabajo los eventos de interés se tratan de los cambios de poder, donde la ventana de estimación consiste en los trimestres previos a los eventos señalados, siendo las estimaciones de los rendimientos normales y anormales de la formación bruta de capital fijo e</w:t>
      </w:r>
      <w:r w:rsidR="00634BBC">
        <w:rPr>
          <w:rFonts w:ascii="Times New Roman" w:hAnsi="Times New Roman" w:cs="Times New Roman"/>
          <w:sz w:val="24"/>
          <w:szCs w:val="24"/>
        </w:rPr>
        <w:t>n México para el periodo de 1994</w:t>
      </w:r>
      <w:r w:rsidRPr="00616653">
        <w:rPr>
          <w:rFonts w:ascii="Times New Roman" w:hAnsi="Times New Roman" w:cs="Times New Roman"/>
          <w:sz w:val="24"/>
          <w:szCs w:val="24"/>
        </w:rPr>
        <w:t xml:space="preserve"> al 2015.</w:t>
      </w:r>
    </w:p>
    <w:p w:rsidR="00B07068" w:rsidRPr="00616653" w:rsidRDefault="00B07068" w:rsidP="00863D0E">
      <w:pPr>
        <w:spacing w:before="240" w:line="240" w:lineRule="auto"/>
        <w:ind w:firstLine="360"/>
        <w:jc w:val="both"/>
        <w:rPr>
          <w:rFonts w:ascii="Times New Roman" w:hAnsi="Times New Roman" w:cs="Times New Roman"/>
          <w:sz w:val="24"/>
          <w:szCs w:val="24"/>
        </w:rPr>
      </w:pPr>
      <w:r w:rsidRPr="00616653">
        <w:rPr>
          <w:rFonts w:ascii="Times New Roman" w:hAnsi="Times New Roman" w:cs="Times New Roman"/>
          <w:sz w:val="24"/>
          <w:szCs w:val="24"/>
        </w:rPr>
        <w:t xml:space="preserve">En base a la metodología de </w:t>
      </w:r>
      <w:r w:rsidRPr="00616653">
        <w:rPr>
          <w:rFonts w:ascii="Times New Roman" w:hAnsi="Times New Roman" w:cs="Times New Roman"/>
          <w:noProof/>
          <w:sz w:val="24"/>
          <w:szCs w:val="24"/>
        </w:rPr>
        <w:t>Sibley (2001),</w:t>
      </w:r>
      <w:r w:rsidRPr="00616653">
        <w:rPr>
          <w:rFonts w:ascii="Times New Roman" w:hAnsi="Times New Roman" w:cs="Times New Roman"/>
          <w:sz w:val="24"/>
          <w:szCs w:val="24"/>
        </w:rPr>
        <w:t xml:space="preserve"> se definen las dos opciones tradicionales para modelar el rendimiento normal de la formación bruta de capital fijo, primero el modelo de mercado:</w:t>
      </w:r>
    </w:p>
    <w:p w:rsidR="00B07068" w:rsidRPr="00616653" w:rsidRDefault="00C73FB9" w:rsidP="00863D0E">
      <w:pPr>
        <w:spacing w:before="24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m:oMathPara>
    </w:p>
    <w:p w:rsidR="00B07068" w:rsidRPr="00616653" w:rsidRDefault="00B07068" w:rsidP="00863D0E">
      <w:pPr>
        <w:spacing w:before="240" w:line="240" w:lineRule="auto"/>
        <w:jc w:val="both"/>
        <w:rPr>
          <w:rFonts w:ascii="Times New Roman" w:eastAsiaTheme="minorEastAsia" w:hAnsi="Times New Roman" w:cs="Times New Roman"/>
          <w:sz w:val="24"/>
          <w:szCs w:val="24"/>
        </w:rPr>
      </w:pPr>
      <w:r w:rsidRPr="00616653">
        <w:rPr>
          <w:rFonts w:ascii="Times New Roman" w:eastAsiaTheme="minorEastAsia" w:hAnsi="Times New Roman" w:cs="Times New Roman"/>
          <w:sz w:val="24"/>
          <w:szCs w:val="24"/>
        </w:rPr>
        <w:t>Dónde:</w:t>
      </w:r>
    </w:p>
    <w:p w:rsidR="00B07068" w:rsidRPr="00616653" w:rsidRDefault="00C73FB9" w:rsidP="00863D0E">
      <w:pPr>
        <w:pStyle w:val="Prrafodelista"/>
        <w:numPr>
          <w:ilvl w:val="0"/>
          <w:numId w:val="1"/>
        </w:numPr>
        <w:spacing w:before="24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it</m:t>
            </m:r>
          </m:sub>
        </m:sSub>
        <m:r>
          <w:rPr>
            <w:rFonts w:ascii="Cambria Math" w:hAnsi="Cambria Math" w:cs="Times New Roman"/>
            <w:sz w:val="24"/>
            <w:szCs w:val="24"/>
          </w:rPr>
          <m:t>=</m:t>
        </m:r>
      </m:oMath>
      <w:r w:rsidR="00B07068" w:rsidRPr="00616653">
        <w:rPr>
          <w:rFonts w:ascii="Times New Roman" w:eastAsiaTheme="minorEastAsia" w:hAnsi="Times New Roman" w:cs="Times New Roman"/>
          <w:sz w:val="24"/>
          <w:szCs w:val="24"/>
        </w:rPr>
        <w:t xml:space="preserve"> Cambio esperado en la </w:t>
      </w:r>
      <w:r w:rsidR="00B07068" w:rsidRPr="00616653">
        <w:rPr>
          <w:rFonts w:ascii="Times New Roman" w:hAnsi="Times New Roman" w:cs="Times New Roman"/>
          <w:sz w:val="24"/>
          <w:szCs w:val="24"/>
        </w:rPr>
        <w:t xml:space="preserve">formación bruta de capital fijo </w:t>
      </w:r>
      <w:r w:rsidR="00B07068" w:rsidRPr="00616653">
        <w:rPr>
          <w:rFonts w:ascii="Times New Roman" w:eastAsiaTheme="minorEastAsia" w:hAnsi="Times New Roman" w:cs="Times New Roman"/>
          <w:sz w:val="24"/>
          <w:szCs w:val="24"/>
        </w:rPr>
        <w:t>en el trimestre t para la elección i.</w:t>
      </w:r>
    </w:p>
    <w:p w:rsidR="00B07068" w:rsidRPr="00616653" w:rsidRDefault="00C73FB9" w:rsidP="00863D0E">
      <w:pPr>
        <w:pStyle w:val="Prrafodelista"/>
        <w:numPr>
          <w:ilvl w:val="0"/>
          <w:numId w:val="1"/>
        </w:numPr>
        <w:spacing w:before="24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m:t>
            </m:r>
          </m:sub>
        </m:sSub>
        <m:r>
          <w:rPr>
            <w:rFonts w:ascii="Cambria Math" w:eastAsiaTheme="minorEastAsia" w:hAnsi="Cambria Math" w:cs="Times New Roman"/>
            <w:sz w:val="24"/>
            <w:szCs w:val="24"/>
          </w:rPr>
          <m:t>=</m:t>
        </m:r>
      </m:oMath>
      <w:r w:rsidR="00B07068" w:rsidRPr="00616653">
        <w:rPr>
          <w:rFonts w:ascii="Times New Roman" w:eastAsiaTheme="minorEastAsia" w:hAnsi="Times New Roman" w:cs="Times New Roman"/>
          <w:sz w:val="24"/>
          <w:szCs w:val="24"/>
        </w:rPr>
        <w:t xml:space="preserve"> Cambio en la </w:t>
      </w:r>
      <w:r w:rsidR="00B07068" w:rsidRPr="00616653">
        <w:rPr>
          <w:rFonts w:ascii="Times New Roman" w:hAnsi="Times New Roman" w:cs="Times New Roman"/>
          <w:sz w:val="24"/>
          <w:szCs w:val="24"/>
        </w:rPr>
        <w:t xml:space="preserve">formación bruta de capital fijo </w:t>
      </w:r>
      <w:r w:rsidR="00B07068" w:rsidRPr="00616653">
        <w:rPr>
          <w:rFonts w:ascii="Times New Roman" w:eastAsiaTheme="minorEastAsia" w:hAnsi="Times New Roman" w:cs="Times New Roman"/>
          <w:sz w:val="24"/>
          <w:szCs w:val="24"/>
        </w:rPr>
        <w:t>en el trimestre t para el sector m.</w:t>
      </w:r>
    </w:p>
    <w:p w:rsidR="00B07068" w:rsidRPr="00616653" w:rsidRDefault="00C73FB9" w:rsidP="00863D0E">
      <w:pPr>
        <w:pStyle w:val="Prrafodelista"/>
        <w:numPr>
          <w:ilvl w:val="0"/>
          <w:numId w:val="1"/>
        </w:numPr>
        <w:spacing w:before="24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eastAsiaTheme="minorEastAsia" w:hAnsi="Cambria Math" w:cs="Times New Roman"/>
            <w:sz w:val="24"/>
            <w:szCs w:val="24"/>
          </w:rPr>
          <m:t>=</m:t>
        </m:r>
      </m:oMath>
      <w:r w:rsidR="00B07068" w:rsidRPr="00616653">
        <w:rPr>
          <w:rFonts w:ascii="Times New Roman" w:eastAsiaTheme="minorEastAsia" w:hAnsi="Times New Roman" w:cs="Times New Roman"/>
          <w:sz w:val="24"/>
          <w:szCs w:val="24"/>
        </w:rPr>
        <w:t xml:space="preserve"> Término de error estadístico.</w:t>
      </w:r>
    </w:p>
    <w:p w:rsidR="00B07068" w:rsidRPr="00616653" w:rsidRDefault="00B07068" w:rsidP="00863D0E">
      <w:pPr>
        <w:spacing w:before="240" w:line="240" w:lineRule="auto"/>
        <w:rPr>
          <w:rFonts w:ascii="Times New Roman" w:hAnsi="Times New Roman" w:cs="Times New Roman"/>
          <w:sz w:val="24"/>
          <w:szCs w:val="24"/>
        </w:rPr>
      </w:pPr>
      <w:r w:rsidRPr="00616653">
        <w:rPr>
          <w:rFonts w:ascii="Times New Roman" w:hAnsi="Times New Roman" w:cs="Times New Roman"/>
          <w:sz w:val="24"/>
          <w:szCs w:val="24"/>
        </w:rPr>
        <w:t>Por otro lado, la estimación de los rendimientos anormales sería:</w:t>
      </w:r>
    </w:p>
    <w:p w:rsidR="00B07068" w:rsidRPr="00616653" w:rsidRDefault="00C73FB9" w:rsidP="00863D0E">
      <w:pPr>
        <w:spacing w:before="24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AN</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mt</m:t>
              </m:r>
            </m:sub>
          </m:sSub>
        </m:oMath>
      </m:oMathPara>
    </w:p>
    <w:p w:rsidR="00B07068" w:rsidRPr="00616653" w:rsidRDefault="00B07068" w:rsidP="00863D0E">
      <w:pPr>
        <w:spacing w:before="240" w:line="240" w:lineRule="auto"/>
        <w:jc w:val="both"/>
        <w:rPr>
          <w:rFonts w:ascii="Times New Roman" w:eastAsiaTheme="minorEastAsia" w:hAnsi="Times New Roman" w:cs="Times New Roman"/>
          <w:sz w:val="24"/>
          <w:szCs w:val="24"/>
        </w:rPr>
      </w:pPr>
      <w:r w:rsidRPr="00616653">
        <w:rPr>
          <w:rFonts w:ascii="Times New Roman" w:eastAsiaTheme="minorEastAsia" w:hAnsi="Times New Roman" w:cs="Times New Roman"/>
          <w:sz w:val="24"/>
          <w:szCs w:val="24"/>
        </w:rPr>
        <w:t>Dónde:</w:t>
      </w:r>
    </w:p>
    <w:p w:rsidR="00B07068" w:rsidRPr="00616653" w:rsidRDefault="00C73FB9" w:rsidP="00863D0E">
      <w:pPr>
        <w:pStyle w:val="Prrafodelista"/>
        <w:numPr>
          <w:ilvl w:val="0"/>
          <w:numId w:val="1"/>
        </w:numPr>
        <w:spacing w:before="24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AN</m:t>
            </m:r>
          </m:e>
          <m:sub>
            <m:r>
              <w:rPr>
                <w:rFonts w:ascii="Cambria Math" w:hAnsi="Cambria Math" w:cs="Times New Roman"/>
                <w:sz w:val="24"/>
                <w:szCs w:val="24"/>
              </w:rPr>
              <m:t>it</m:t>
            </m:r>
          </m:sub>
        </m:sSub>
        <m:r>
          <w:rPr>
            <w:rFonts w:ascii="Cambria Math" w:hAnsi="Cambria Math" w:cs="Times New Roman"/>
            <w:sz w:val="24"/>
            <w:szCs w:val="24"/>
          </w:rPr>
          <m:t>=</m:t>
        </m:r>
      </m:oMath>
      <w:r w:rsidR="00B07068" w:rsidRPr="00616653">
        <w:rPr>
          <w:rFonts w:ascii="Times New Roman" w:eastAsiaTheme="minorEastAsia" w:hAnsi="Times New Roman" w:cs="Times New Roman"/>
          <w:sz w:val="24"/>
          <w:szCs w:val="24"/>
        </w:rPr>
        <w:t xml:space="preserve"> Cambio anormal en la </w:t>
      </w:r>
      <w:r w:rsidR="00B07068" w:rsidRPr="00616653">
        <w:rPr>
          <w:rFonts w:ascii="Times New Roman" w:hAnsi="Times New Roman" w:cs="Times New Roman"/>
          <w:sz w:val="24"/>
          <w:szCs w:val="24"/>
        </w:rPr>
        <w:t xml:space="preserve">formación bruta de capital fijo </w:t>
      </w:r>
      <w:r w:rsidR="00B07068" w:rsidRPr="00616653">
        <w:rPr>
          <w:rFonts w:ascii="Times New Roman" w:eastAsiaTheme="minorEastAsia" w:hAnsi="Times New Roman" w:cs="Times New Roman"/>
          <w:sz w:val="24"/>
          <w:szCs w:val="24"/>
        </w:rPr>
        <w:t>en el trimestre t para la elección i.</w:t>
      </w:r>
    </w:p>
    <w:p w:rsidR="00B07068" w:rsidRPr="00616653" w:rsidRDefault="00C73FB9" w:rsidP="00863D0E">
      <w:pPr>
        <w:pStyle w:val="Prrafodelista"/>
        <w:numPr>
          <w:ilvl w:val="0"/>
          <w:numId w:val="1"/>
        </w:numPr>
        <w:spacing w:before="24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it</m:t>
            </m:r>
          </m:sub>
        </m:sSub>
        <m:r>
          <w:rPr>
            <w:rFonts w:ascii="Cambria Math" w:eastAsiaTheme="minorEastAsia" w:hAnsi="Cambria Math" w:cs="Times New Roman"/>
            <w:sz w:val="24"/>
            <w:szCs w:val="24"/>
          </w:rPr>
          <m:t>=</m:t>
        </m:r>
      </m:oMath>
      <w:r w:rsidR="00B07068" w:rsidRPr="00616653">
        <w:rPr>
          <w:rFonts w:ascii="Times New Roman" w:eastAsiaTheme="minorEastAsia" w:hAnsi="Times New Roman" w:cs="Times New Roman"/>
          <w:sz w:val="24"/>
          <w:szCs w:val="24"/>
        </w:rPr>
        <w:t xml:space="preserve"> Cambio observado en la </w:t>
      </w:r>
      <w:r w:rsidR="00B07068" w:rsidRPr="00616653">
        <w:rPr>
          <w:rFonts w:ascii="Times New Roman" w:hAnsi="Times New Roman" w:cs="Times New Roman"/>
          <w:sz w:val="24"/>
          <w:szCs w:val="24"/>
        </w:rPr>
        <w:t>formación bruta de capital fijo</w:t>
      </w:r>
      <w:r w:rsidR="00B07068" w:rsidRPr="00616653">
        <w:rPr>
          <w:rFonts w:ascii="Times New Roman" w:eastAsiaTheme="minorEastAsia" w:hAnsi="Times New Roman" w:cs="Times New Roman"/>
          <w:sz w:val="24"/>
          <w:szCs w:val="24"/>
        </w:rPr>
        <w:t xml:space="preserve"> en el trimestre t para la elección i.</w:t>
      </w:r>
    </w:p>
    <w:p w:rsidR="00B07068" w:rsidRPr="00616653" w:rsidRDefault="00B07068" w:rsidP="00863D0E">
      <w:pPr>
        <w:spacing w:before="240" w:line="240" w:lineRule="auto"/>
        <w:jc w:val="both"/>
        <w:rPr>
          <w:rFonts w:ascii="Times New Roman" w:hAnsi="Times New Roman" w:cs="Times New Roman"/>
          <w:sz w:val="24"/>
          <w:szCs w:val="24"/>
        </w:rPr>
      </w:pPr>
      <w:r w:rsidRPr="00616653">
        <w:rPr>
          <w:rFonts w:ascii="Times New Roman" w:hAnsi="Times New Roman" w:cs="Times New Roman"/>
          <w:sz w:val="24"/>
          <w:szCs w:val="24"/>
        </w:rPr>
        <w:t>Posteriormente, y con fines de comparación en los resultados, el modelo de rendimiento de media constante:</w:t>
      </w:r>
    </w:p>
    <w:p w:rsidR="00B07068" w:rsidRPr="00616653" w:rsidRDefault="00C73FB9" w:rsidP="00863D0E">
      <w:pPr>
        <w:spacing w:before="24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oMath>
      </m:oMathPara>
    </w:p>
    <w:p w:rsidR="00B07068" w:rsidRPr="00616653" w:rsidRDefault="00B07068" w:rsidP="00863D0E">
      <w:pPr>
        <w:spacing w:before="240" w:line="240" w:lineRule="auto"/>
        <w:jc w:val="both"/>
        <w:rPr>
          <w:rFonts w:ascii="Times New Roman" w:eastAsiaTheme="minorEastAsia" w:hAnsi="Times New Roman" w:cs="Times New Roman"/>
          <w:sz w:val="24"/>
          <w:szCs w:val="24"/>
        </w:rPr>
      </w:pPr>
      <w:r w:rsidRPr="00616653">
        <w:rPr>
          <w:rFonts w:ascii="Times New Roman" w:eastAsiaTheme="minorEastAsia" w:hAnsi="Times New Roman" w:cs="Times New Roman"/>
          <w:sz w:val="24"/>
          <w:szCs w:val="24"/>
        </w:rPr>
        <w:t>Dónde:</w:t>
      </w:r>
    </w:p>
    <w:p w:rsidR="00B07068" w:rsidRPr="00616653" w:rsidRDefault="00C73FB9" w:rsidP="00863D0E">
      <w:pPr>
        <w:pStyle w:val="Prrafodelista"/>
        <w:numPr>
          <w:ilvl w:val="0"/>
          <w:numId w:val="1"/>
        </w:numPr>
        <w:spacing w:before="24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it</m:t>
            </m:r>
          </m:sub>
        </m:sSub>
        <m:r>
          <w:rPr>
            <w:rFonts w:ascii="Cambria Math" w:hAnsi="Cambria Math" w:cs="Times New Roman"/>
            <w:sz w:val="24"/>
            <w:szCs w:val="24"/>
          </w:rPr>
          <m:t>=</m:t>
        </m:r>
      </m:oMath>
      <w:r w:rsidR="00B07068" w:rsidRPr="00616653">
        <w:rPr>
          <w:rFonts w:ascii="Times New Roman" w:eastAsiaTheme="minorEastAsia" w:hAnsi="Times New Roman" w:cs="Times New Roman"/>
          <w:sz w:val="24"/>
          <w:szCs w:val="24"/>
        </w:rPr>
        <w:t xml:space="preserve"> Cambio medio trimestral en la </w:t>
      </w:r>
      <w:r w:rsidR="00B07068" w:rsidRPr="00616653">
        <w:rPr>
          <w:rFonts w:ascii="Times New Roman" w:hAnsi="Times New Roman" w:cs="Times New Roman"/>
          <w:sz w:val="24"/>
          <w:szCs w:val="24"/>
        </w:rPr>
        <w:t xml:space="preserve">formación bruta de capital fijo </w:t>
      </w:r>
      <w:r w:rsidR="00B07068" w:rsidRPr="00616653">
        <w:rPr>
          <w:rFonts w:ascii="Times New Roman" w:eastAsiaTheme="minorEastAsia" w:hAnsi="Times New Roman" w:cs="Times New Roman"/>
          <w:sz w:val="24"/>
          <w:szCs w:val="24"/>
        </w:rPr>
        <w:t>para la elección i sobre todo el periodo de estudio.</w:t>
      </w:r>
    </w:p>
    <w:p w:rsidR="00B07068" w:rsidRPr="00616653" w:rsidRDefault="00B07068" w:rsidP="00863D0E">
      <w:pPr>
        <w:spacing w:before="240" w:line="240" w:lineRule="auto"/>
        <w:rPr>
          <w:rFonts w:ascii="Times New Roman" w:hAnsi="Times New Roman" w:cs="Times New Roman"/>
          <w:b/>
          <w:sz w:val="24"/>
          <w:szCs w:val="24"/>
        </w:rPr>
      </w:pPr>
      <w:r w:rsidRPr="00616653">
        <w:rPr>
          <w:rFonts w:ascii="Times New Roman" w:hAnsi="Times New Roman" w:cs="Times New Roman"/>
          <w:sz w:val="24"/>
          <w:szCs w:val="24"/>
        </w:rPr>
        <w:t>Siendo la estimación de los rendimientos anormales:</w:t>
      </w:r>
    </w:p>
    <w:p w:rsidR="00B07068" w:rsidRPr="00616653" w:rsidRDefault="00C73FB9" w:rsidP="00863D0E">
      <w:pPr>
        <w:spacing w:before="24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AN</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i</m:t>
              </m:r>
            </m:sub>
          </m:sSub>
        </m:oMath>
      </m:oMathPara>
    </w:p>
    <w:p w:rsidR="00B07068" w:rsidRPr="00616653" w:rsidRDefault="00863D0E" w:rsidP="00863D0E">
      <w:pPr>
        <w:spacing w:before="24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B07068" w:rsidRPr="00616653">
        <w:rPr>
          <w:rFonts w:ascii="Times New Roman" w:hAnsi="Times New Roman" w:cs="Times New Roman"/>
          <w:sz w:val="24"/>
          <w:szCs w:val="24"/>
        </w:rPr>
        <w:t>n el presente trabajo, la ventana de tiempo corresponde a los cuatro trimestres previos y los cuatro trimestres posteriores a los cambios de poder, según sea el caso del evento relevante.</w:t>
      </w:r>
    </w:p>
    <w:p w:rsidR="00B07068" w:rsidRPr="00616653" w:rsidRDefault="00B07068" w:rsidP="00863D0E">
      <w:pPr>
        <w:spacing w:before="240" w:line="240" w:lineRule="auto"/>
        <w:jc w:val="both"/>
        <w:rPr>
          <w:rFonts w:ascii="Times New Roman" w:hAnsi="Times New Roman" w:cs="Times New Roman"/>
          <w:sz w:val="24"/>
          <w:szCs w:val="24"/>
        </w:rPr>
      </w:pPr>
    </w:p>
    <w:p w:rsidR="00B07068" w:rsidRPr="00790AC1" w:rsidRDefault="00EF49CD" w:rsidP="00863D0E">
      <w:pPr>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5.2.- </w:t>
      </w:r>
      <w:r w:rsidR="00B07068" w:rsidRPr="00790AC1">
        <w:rPr>
          <w:rFonts w:ascii="Times New Roman" w:hAnsi="Times New Roman" w:cs="Times New Roman"/>
          <w:b/>
          <w:sz w:val="24"/>
          <w:szCs w:val="24"/>
        </w:rPr>
        <w:t>Estimaciones.</w:t>
      </w:r>
    </w:p>
    <w:p w:rsidR="00B07068" w:rsidRPr="00616653" w:rsidRDefault="00B07068" w:rsidP="00863D0E">
      <w:pPr>
        <w:spacing w:before="24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En el presente trabajo se analizan los indicadores trimestrales de formación bruta de capital fijo por tipo de comprador del primer trimestre de 1993 al cuarto trimestre de 2015, donde la fuente de información es el Banco de Información Económica (BIE) del Instituto Nacional de Estadística y Geografía (INEGI).</w:t>
      </w:r>
    </w:p>
    <w:p w:rsidR="00B07068" w:rsidRPr="00616653" w:rsidRDefault="00B07068" w:rsidP="00863D0E">
      <w:pPr>
        <w:spacing w:before="24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 xml:space="preserve">En el Cuadro </w:t>
      </w:r>
      <w:r w:rsidR="008638CC">
        <w:rPr>
          <w:rFonts w:ascii="Times New Roman" w:hAnsi="Times New Roman" w:cs="Times New Roman"/>
          <w:sz w:val="24"/>
          <w:szCs w:val="24"/>
        </w:rPr>
        <w:t>2</w:t>
      </w:r>
      <w:r w:rsidRPr="00616653">
        <w:rPr>
          <w:rFonts w:ascii="Times New Roman" w:hAnsi="Times New Roman" w:cs="Times New Roman"/>
          <w:sz w:val="24"/>
          <w:szCs w:val="24"/>
        </w:rPr>
        <w:t xml:space="preserve"> se presentan las estimaciones correspondientes al estudio de eventos en la formación bruta de capital fijo total, considerando los cambios de administración presidencial como el evento relevante. Se presentan los promedios del rendimiento normal, anormal y estandarizado</w:t>
      </w:r>
      <w:r w:rsidRPr="00616653">
        <w:rPr>
          <w:rStyle w:val="Refdenotaalpie"/>
          <w:rFonts w:ascii="Times New Roman" w:hAnsi="Times New Roman"/>
          <w:sz w:val="24"/>
          <w:szCs w:val="24"/>
        </w:rPr>
        <w:footnoteReference w:id="3"/>
      </w:r>
      <w:r w:rsidRPr="00616653">
        <w:rPr>
          <w:rFonts w:ascii="Times New Roman" w:hAnsi="Times New Roman" w:cs="Times New Roman"/>
          <w:sz w:val="24"/>
          <w:szCs w:val="24"/>
        </w:rPr>
        <w:t xml:space="preserve"> por trimestre, tomando en </w:t>
      </w:r>
      <w:r>
        <w:rPr>
          <w:rFonts w:ascii="Times New Roman" w:hAnsi="Times New Roman" w:cs="Times New Roman"/>
          <w:sz w:val="24"/>
          <w:szCs w:val="24"/>
        </w:rPr>
        <w:t>cuenta que los trimestres de (-</w:t>
      </w:r>
      <w:r w:rsidR="008638CC">
        <w:rPr>
          <w:rFonts w:ascii="Times New Roman" w:hAnsi="Times New Roman" w:cs="Times New Roman"/>
          <w:sz w:val="24"/>
          <w:szCs w:val="24"/>
        </w:rPr>
        <w:t>4</w:t>
      </w:r>
      <w:r>
        <w:rPr>
          <w:rFonts w:ascii="Times New Roman" w:hAnsi="Times New Roman" w:cs="Times New Roman"/>
          <w:sz w:val="24"/>
          <w:szCs w:val="24"/>
        </w:rPr>
        <w:t>) a (</w:t>
      </w:r>
      <w:r w:rsidR="008638CC">
        <w:rPr>
          <w:rFonts w:ascii="Times New Roman" w:hAnsi="Times New Roman" w:cs="Times New Roman"/>
          <w:sz w:val="24"/>
          <w:szCs w:val="24"/>
        </w:rPr>
        <w:t>-1</w:t>
      </w:r>
      <w:r w:rsidRPr="00616653">
        <w:rPr>
          <w:rFonts w:ascii="Times New Roman" w:hAnsi="Times New Roman" w:cs="Times New Roman"/>
          <w:sz w:val="24"/>
          <w:szCs w:val="24"/>
        </w:rPr>
        <w:t>) son los últimos de cada administración presidencial, y los trimestres del 1 a 4 corresponden a los primeros de la administración siguiente. La columna del estadístico T, corresponde a la prueba estadística para comprobar que el coeficiente del rendimiento anormal estandarizado es estadísticamente significativo.</w:t>
      </w:r>
    </w:p>
    <w:p w:rsidR="00CD10AA" w:rsidRDefault="00B07068" w:rsidP="00863D0E">
      <w:pPr>
        <w:spacing w:before="24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lastRenderedPageBreak/>
        <w:t>Solamente se reportan los valores del modelo de media constante ya que los resultados entre este modelo y el de mercado fueron muy similares, además de que el modelo de media constante permite analizar el efecto del evento por trimestre</w:t>
      </w:r>
      <w:r w:rsidR="00CD10AA">
        <w:rPr>
          <w:rFonts w:ascii="Times New Roman" w:hAnsi="Times New Roman" w:cs="Times New Roman"/>
          <w:sz w:val="24"/>
          <w:szCs w:val="24"/>
        </w:rPr>
        <w:t>.</w:t>
      </w:r>
    </w:p>
    <w:p w:rsidR="00B07068" w:rsidRPr="00616653" w:rsidRDefault="00B07068" w:rsidP="00863D0E">
      <w:pPr>
        <w:spacing w:before="240" w:after="0" w:line="240" w:lineRule="auto"/>
        <w:jc w:val="center"/>
        <w:rPr>
          <w:rFonts w:ascii="Times New Roman" w:hAnsi="Times New Roman" w:cs="Times New Roman"/>
          <w:b/>
          <w:sz w:val="24"/>
          <w:szCs w:val="24"/>
        </w:rPr>
      </w:pPr>
      <w:r w:rsidRPr="00616653">
        <w:rPr>
          <w:rFonts w:ascii="Times New Roman" w:hAnsi="Times New Roman" w:cs="Times New Roman"/>
          <w:b/>
          <w:sz w:val="24"/>
          <w:szCs w:val="24"/>
        </w:rPr>
        <w:t xml:space="preserve">Cuadro </w:t>
      </w:r>
      <w:r w:rsidR="008638CC">
        <w:rPr>
          <w:rFonts w:ascii="Times New Roman" w:hAnsi="Times New Roman" w:cs="Times New Roman"/>
          <w:b/>
          <w:sz w:val="24"/>
          <w:szCs w:val="24"/>
        </w:rPr>
        <w:t>2</w:t>
      </w:r>
    </w:p>
    <w:p w:rsidR="00B07068" w:rsidRDefault="00B07068" w:rsidP="00863D0E">
      <w:pPr>
        <w:spacing w:before="240" w:after="0" w:line="240" w:lineRule="auto"/>
        <w:jc w:val="center"/>
        <w:rPr>
          <w:rFonts w:ascii="Times New Roman" w:hAnsi="Times New Roman" w:cs="Times New Roman"/>
          <w:b/>
          <w:bCs/>
          <w:sz w:val="24"/>
          <w:szCs w:val="24"/>
        </w:rPr>
      </w:pPr>
      <w:r w:rsidRPr="00616653">
        <w:rPr>
          <w:rFonts w:ascii="Times New Roman" w:hAnsi="Times New Roman" w:cs="Times New Roman"/>
          <w:b/>
          <w:bCs/>
          <w:sz w:val="24"/>
          <w:szCs w:val="24"/>
        </w:rPr>
        <w:t>Estimación del modelo de media constante en la formación bruta de capital fijo total</w:t>
      </w:r>
    </w:p>
    <w:p w:rsidR="00B07068" w:rsidRPr="00616653" w:rsidRDefault="00B07068" w:rsidP="00863D0E">
      <w:pPr>
        <w:spacing w:before="240" w:after="0" w:line="240" w:lineRule="auto"/>
        <w:jc w:val="center"/>
        <w:rPr>
          <w:rFonts w:ascii="Times New Roman" w:hAnsi="Times New Roman" w:cs="Times New Roman"/>
          <w:b/>
          <w:sz w:val="24"/>
          <w:szCs w:val="24"/>
        </w:rPr>
      </w:pPr>
    </w:p>
    <w:tbl>
      <w:tblPr>
        <w:tblStyle w:val="Tabladecuadrcula1clara1"/>
        <w:tblW w:w="0" w:type="auto"/>
        <w:tblLook w:val="04A0" w:firstRow="1" w:lastRow="0" w:firstColumn="1" w:lastColumn="0" w:noHBand="0" w:noVBand="1"/>
      </w:tblPr>
      <w:tblGrid>
        <w:gridCol w:w="1073"/>
        <w:gridCol w:w="1743"/>
        <w:gridCol w:w="1810"/>
        <w:gridCol w:w="2651"/>
        <w:gridCol w:w="1261"/>
        <w:gridCol w:w="516"/>
      </w:tblGrid>
      <w:tr w:rsidR="00B07068" w:rsidRPr="00863D0E" w:rsidTr="00A062CC">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Trimestre</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Rendimiento Normal</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Rendimiento Anormal</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Rendimiento Anormal Estandarizado</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Estadístico T</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0.0889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0.0853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1.0693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8.5543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0.0918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0.0883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0.8993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7.1946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0.1324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0.1288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1.1478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9.1821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0.0426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0.0390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0.4056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3.2449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-0.0767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-0.0803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-0.9444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-7.5551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-0.0871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-0.0907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-0.7290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-5.8320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-0.1027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-0.1063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-1.1885</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-9.5078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-0.0606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-0.0641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-0.6601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-5.2809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bl>
    <w:p w:rsidR="00B07068" w:rsidRPr="00616653" w:rsidRDefault="00B07068" w:rsidP="00863D0E">
      <w:pPr>
        <w:spacing w:before="240" w:after="0" w:line="240" w:lineRule="auto"/>
        <w:rPr>
          <w:rFonts w:ascii="Times New Roman" w:hAnsi="Times New Roman" w:cs="Times New Roman"/>
          <w:b/>
          <w:sz w:val="24"/>
          <w:szCs w:val="24"/>
        </w:rPr>
      </w:pPr>
      <w:r w:rsidRPr="00616653">
        <w:rPr>
          <w:rFonts w:ascii="Times New Roman" w:hAnsi="Times New Roman" w:cs="Times New Roman"/>
          <w:b/>
          <w:sz w:val="24"/>
          <w:szCs w:val="24"/>
        </w:rPr>
        <w:t>* Significativo al 90%. ** Significativo al 95%. *** Significativo al 99%.</w:t>
      </w:r>
    </w:p>
    <w:p w:rsidR="00B07068" w:rsidRPr="00616653" w:rsidRDefault="00B07068" w:rsidP="00863D0E">
      <w:pPr>
        <w:spacing w:before="240" w:line="240" w:lineRule="auto"/>
        <w:rPr>
          <w:rFonts w:ascii="Times New Roman" w:hAnsi="Times New Roman" w:cs="Times New Roman"/>
          <w:b/>
          <w:sz w:val="24"/>
          <w:szCs w:val="24"/>
        </w:rPr>
      </w:pPr>
      <w:r w:rsidRPr="00616653">
        <w:rPr>
          <w:rFonts w:ascii="Times New Roman" w:hAnsi="Times New Roman" w:cs="Times New Roman"/>
          <w:b/>
          <w:sz w:val="24"/>
          <w:szCs w:val="24"/>
        </w:rPr>
        <w:t>Fuente: Elaboración propia con datos del INEGI</w:t>
      </w:r>
    </w:p>
    <w:p w:rsidR="00863D0E" w:rsidRDefault="00863D0E" w:rsidP="00863D0E">
      <w:pPr>
        <w:spacing w:before="240" w:after="0" w:line="240" w:lineRule="auto"/>
        <w:jc w:val="both"/>
        <w:rPr>
          <w:rFonts w:ascii="Times New Roman" w:hAnsi="Times New Roman" w:cs="Times New Roman"/>
          <w:sz w:val="24"/>
          <w:szCs w:val="24"/>
        </w:rPr>
      </w:pPr>
    </w:p>
    <w:p w:rsidR="00B07068" w:rsidRPr="00616653" w:rsidRDefault="00B07068" w:rsidP="00863D0E">
      <w:pPr>
        <w:spacing w:before="240" w:after="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 xml:space="preserve">Se puede observar que el </w:t>
      </w:r>
      <w:r w:rsidR="00CD10AA">
        <w:rPr>
          <w:rFonts w:ascii="Times New Roman" w:hAnsi="Times New Roman" w:cs="Times New Roman"/>
          <w:sz w:val="24"/>
          <w:szCs w:val="24"/>
        </w:rPr>
        <w:t>crecimiento</w:t>
      </w:r>
      <w:r w:rsidRPr="00616653">
        <w:rPr>
          <w:rFonts w:ascii="Times New Roman" w:hAnsi="Times New Roman" w:cs="Times New Roman"/>
          <w:sz w:val="24"/>
          <w:szCs w:val="24"/>
        </w:rPr>
        <w:t xml:space="preserve"> anormal estandarizado de la formación bruta de capital fijo total presenta los signos esperados, ya que la de la formación de capital promedio para todos los sectores aumenta en el último año de cada sexenio y disminuye en el primer año del sexenio siguiente.</w:t>
      </w:r>
    </w:p>
    <w:p w:rsidR="00B07068" w:rsidRPr="00616653" w:rsidRDefault="00B07068" w:rsidP="00863D0E">
      <w:pPr>
        <w:spacing w:before="240" w:after="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 xml:space="preserve">En el Cuadro </w:t>
      </w:r>
      <w:r w:rsidR="008638CC">
        <w:rPr>
          <w:rFonts w:ascii="Times New Roman" w:hAnsi="Times New Roman" w:cs="Times New Roman"/>
          <w:sz w:val="24"/>
          <w:szCs w:val="24"/>
        </w:rPr>
        <w:t>3</w:t>
      </w:r>
      <w:r w:rsidRPr="00616653">
        <w:rPr>
          <w:rFonts w:ascii="Times New Roman" w:hAnsi="Times New Roman" w:cs="Times New Roman"/>
          <w:sz w:val="24"/>
          <w:szCs w:val="24"/>
        </w:rPr>
        <w:t xml:space="preserve"> se presentan las estimaciones correspondientes al estudio de eventos en la formación bruta de capital  privada total, considerando los cambios de administración presidencial como el evento relevante.</w:t>
      </w:r>
    </w:p>
    <w:p w:rsidR="00B07068" w:rsidRPr="00616653" w:rsidRDefault="00B07068" w:rsidP="00863D0E">
      <w:pPr>
        <w:spacing w:before="240" w:after="0" w:line="240" w:lineRule="auto"/>
        <w:jc w:val="center"/>
        <w:rPr>
          <w:rFonts w:ascii="Times New Roman" w:hAnsi="Times New Roman" w:cs="Times New Roman"/>
          <w:b/>
          <w:sz w:val="24"/>
          <w:szCs w:val="24"/>
        </w:rPr>
      </w:pPr>
      <w:r w:rsidRPr="00616653">
        <w:rPr>
          <w:rFonts w:ascii="Times New Roman" w:hAnsi="Times New Roman" w:cs="Times New Roman"/>
          <w:b/>
          <w:sz w:val="24"/>
          <w:szCs w:val="24"/>
        </w:rPr>
        <w:t xml:space="preserve">Cuadro </w:t>
      </w:r>
      <w:r w:rsidR="008638CC">
        <w:rPr>
          <w:rFonts w:ascii="Times New Roman" w:hAnsi="Times New Roman" w:cs="Times New Roman"/>
          <w:b/>
          <w:sz w:val="24"/>
          <w:szCs w:val="24"/>
        </w:rPr>
        <w:t>3</w:t>
      </w:r>
    </w:p>
    <w:p w:rsidR="00B07068" w:rsidRDefault="00B07068" w:rsidP="00863D0E">
      <w:pPr>
        <w:spacing w:before="240" w:after="0" w:line="240" w:lineRule="auto"/>
        <w:jc w:val="center"/>
        <w:rPr>
          <w:rFonts w:ascii="Times New Roman" w:hAnsi="Times New Roman" w:cs="Times New Roman"/>
          <w:b/>
          <w:bCs/>
          <w:sz w:val="24"/>
          <w:szCs w:val="24"/>
        </w:rPr>
      </w:pPr>
      <w:r w:rsidRPr="00616653">
        <w:rPr>
          <w:rFonts w:ascii="Times New Roman" w:hAnsi="Times New Roman" w:cs="Times New Roman"/>
          <w:b/>
          <w:bCs/>
          <w:sz w:val="24"/>
          <w:szCs w:val="24"/>
        </w:rPr>
        <w:lastRenderedPageBreak/>
        <w:t xml:space="preserve">Estimación del modelo de media constante en la formación bruta de capital </w:t>
      </w:r>
      <w:proofErr w:type="gramStart"/>
      <w:r w:rsidRPr="00616653">
        <w:rPr>
          <w:rFonts w:ascii="Times New Roman" w:hAnsi="Times New Roman" w:cs="Times New Roman"/>
          <w:b/>
          <w:bCs/>
          <w:sz w:val="24"/>
          <w:szCs w:val="24"/>
        </w:rPr>
        <w:t>fijo privada</w:t>
      </w:r>
      <w:proofErr w:type="gramEnd"/>
      <w:r w:rsidRPr="00616653">
        <w:rPr>
          <w:rFonts w:ascii="Times New Roman" w:hAnsi="Times New Roman" w:cs="Times New Roman"/>
          <w:b/>
          <w:bCs/>
          <w:sz w:val="24"/>
          <w:szCs w:val="24"/>
        </w:rPr>
        <w:t xml:space="preserve"> total</w:t>
      </w:r>
    </w:p>
    <w:p w:rsidR="00B07068" w:rsidRPr="00616653" w:rsidRDefault="00B07068" w:rsidP="00863D0E">
      <w:pPr>
        <w:spacing w:before="240" w:after="0" w:line="240" w:lineRule="auto"/>
        <w:jc w:val="center"/>
        <w:rPr>
          <w:rFonts w:ascii="Times New Roman" w:hAnsi="Times New Roman" w:cs="Times New Roman"/>
          <w:b/>
          <w:sz w:val="24"/>
          <w:szCs w:val="24"/>
        </w:rPr>
      </w:pPr>
    </w:p>
    <w:tbl>
      <w:tblPr>
        <w:tblStyle w:val="Tabladecuadrcula1clara1"/>
        <w:tblW w:w="0" w:type="auto"/>
        <w:tblLook w:val="04A0" w:firstRow="1" w:lastRow="0" w:firstColumn="1" w:lastColumn="0" w:noHBand="0" w:noVBand="1"/>
      </w:tblPr>
      <w:tblGrid>
        <w:gridCol w:w="1073"/>
        <w:gridCol w:w="1743"/>
        <w:gridCol w:w="1810"/>
        <w:gridCol w:w="2651"/>
        <w:gridCol w:w="1261"/>
        <w:gridCol w:w="516"/>
      </w:tblGrid>
      <w:tr w:rsidR="00B07068" w:rsidRPr="00863D0E" w:rsidTr="00A062CC">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Trimestre</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Rendimiento Normal</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Rendimiento Anormal</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Rendimiento Anormal Estandarizado</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Estadístico T</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0.1356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0.1134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0.9959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7.9671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0.1268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0.1047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0.7600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6.0803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0.1263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0.1041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0.7759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6.2072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0.1326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0.1105</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0.8796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7.0365</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-0.0678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-0.0900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-0.8433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-6.7466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-0.0890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-0.1112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-0.9272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-7.4176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-0.0865</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-0.1087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-0.8401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-6.7208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-0.1007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-0.1228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-0.8008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-6.4061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bl>
    <w:p w:rsidR="00B07068" w:rsidRPr="00616653" w:rsidRDefault="00B07068" w:rsidP="00863D0E">
      <w:pPr>
        <w:spacing w:before="240" w:after="0" w:line="240" w:lineRule="auto"/>
        <w:rPr>
          <w:rFonts w:ascii="Times New Roman" w:hAnsi="Times New Roman" w:cs="Times New Roman"/>
          <w:b/>
          <w:sz w:val="24"/>
          <w:szCs w:val="24"/>
        </w:rPr>
      </w:pPr>
      <w:r w:rsidRPr="00616653">
        <w:rPr>
          <w:rFonts w:ascii="Times New Roman" w:hAnsi="Times New Roman" w:cs="Times New Roman"/>
          <w:b/>
          <w:sz w:val="24"/>
          <w:szCs w:val="24"/>
        </w:rPr>
        <w:t>* Significativo al 90%. ** Significativo al 95%. *** Significativo al 99%.</w:t>
      </w:r>
    </w:p>
    <w:p w:rsidR="00B07068" w:rsidRPr="00616653" w:rsidRDefault="00B07068" w:rsidP="00863D0E">
      <w:pPr>
        <w:spacing w:before="240" w:line="240" w:lineRule="auto"/>
        <w:rPr>
          <w:rFonts w:ascii="Times New Roman" w:hAnsi="Times New Roman" w:cs="Times New Roman"/>
          <w:b/>
          <w:sz w:val="24"/>
          <w:szCs w:val="24"/>
        </w:rPr>
      </w:pPr>
      <w:r w:rsidRPr="00616653">
        <w:rPr>
          <w:rFonts w:ascii="Times New Roman" w:hAnsi="Times New Roman" w:cs="Times New Roman"/>
          <w:b/>
          <w:sz w:val="24"/>
          <w:szCs w:val="24"/>
        </w:rPr>
        <w:t>Fuente: Elaboración propia con datos del INEGI</w:t>
      </w:r>
    </w:p>
    <w:p w:rsidR="00B07068" w:rsidRPr="00616653" w:rsidRDefault="00B07068" w:rsidP="00863D0E">
      <w:pPr>
        <w:spacing w:before="240" w:after="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 xml:space="preserve">Se puede observar que el </w:t>
      </w:r>
      <w:r w:rsidR="00CD10AA">
        <w:rPr>
          <w:rFonts w:ascii="Times New Roman" w:hAnsi="Times New Roman" w:cs="Times New Roman"/>
          <w:sz w:val="24"/>
          <w:szCs w:val="24"/>
        </w:rPr>
        <w:t>crecimiento</w:t>
      </w:r>
      <w:r w:rsidRPr="00616653">
        <w:rPr>
          <w:rFonts w:ascii="Times New Roman" w:hAnsi="Times New Roman" w:cs="Times New Roman"/>
          <w:sz w:val="24"/>
          <w:szCs w:val="24"/>
        </w:rPr>
        <w:t xml:space="preserve"> anormal estandarizado de la formación bruta de capital privada total también presenta los signos esperados, ya que la de la formación de capital promedio para el sector privado aumenta en el último año de cada sexenio y disminuye en el primer año del sexenio siguiente, inclusive, para este caso, todos los trimestres son altamente significativos.</w:t>
      </w:r>
    </w:p>
    <w:p w:rsidR="00B07068" w:rsidRPr="00616653" w:rsidRDefault="008638CC" w:rsidP="00863D0E">
      <w:pPr>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 el Cuadro 4</w:t>
      </w:r>
      <w:r w:rsidR="00B07068" w:rsidRPr="00616653">
        <w:rPr>
          <w:rFonts w:ascii="Times New Roman" w:hAnsi="Times New Roman" w:cs="Times New Roman"/>
          <w:sz w:val="24"/>
          <w:szCs w:val="24"/>
        </w:rPr>
        <w:t xml:space="preserve"> se presentan las estimaciones correspondientes al estudio de eventos en la </w:t>
      </w:r>
      <w:r>
        <w:rPr>
          <w:rFonts w:ascii="Times New Roman" w:hAnsi="Times New Roman" w:cs="Times New Roman"/>
          <w:sz w:val="24"/>
          <w:szCs w:val="24"/>
        </w:rPr>
        <w:t xml:space="preserve">formación bruta de capital </w:t>
      </w:r>
      <w:r w:rsidR="00622B18">
        <w:rPr>
          <w:rFonts w:ascii="Times New Roman" w:hAnsi="Times New Roman" w:cs="Times New Roman"/>
          <w:sz w:val="24"/>
          <w:szCs w:val="24"/>
        </w:rPr>
        <w:t xml:space="preserve"> </w:t>
      </w:r>
      <w:r w:rsidR="00B07068" w:rsidRPr="00616653">
        <w:rPr>
          <w:rFonts w:ascii="Times New Roman" w:hAnsi="Times New Roman" w:cs="Times New Roman"/>
          <w:sz w:val="24"/>
          <w:szCs w:val="24"/>
        </w:rPr>
        <w:t>pública total, considerando los cambios de administración presidencial como el evento relevante.</w:t>
      </w:r>
    </w:p>
    <w:p w:rsidR="00B07068" w:rsidRPr="00616653" w:rsidRDefault="00B07068" w:rsidP="00863D0E">
      <w:pPr>
        <w:spacing w:before="240" w:after="0" w:line="240" w:lineRule="auto"/>
        <w:jc w:val="center"/>
        <w:rPr>
          <w:rFonts w:ascii="Times New Roman" w:hAnsi="Times New Roman" w:cs="Times New Roman"/>
          <w:b/>
          <w:sz w:val="24"/>
          <w:szCs w:val="24"/>
        </w:rPr>
      </w:pPr>
      <w:r w:rsidRPr="00616653">
        <w:rPr>
          <w:rFonts w:ascii="Times New Roman" w:hAnsi="Times New Roman" w:cs="Times New Roman"/>
          <w:b/>
          <w:sz w:val="24"/>
          <w:szCs w:val="24"/>
        </w:rPr>
        <w:t xml:space="preserve">Cuadro </w:t>
      </w:r>
      <w:r w:rsidR="008638CC">
        <w:rPr>
          <w:rFonts w:ascii="Times New Roman" w:hAnsi="Times New Roman" w:cs="Times New Roman"/>
          <w:b/>
          <w:sz w:val="24"/>
          <w:szCs w:val="24"/>
        </w:rPr>
        <w:t>4</w:t>
      </w:r>
    </w:p>
    <w:p w:rsidR="00B07068" w:rsidRPr="00616653" w:rsidRDefault="00B07068" w:rsidP="00863D0E">
      <w:pPr>
        <w:spacing w:before="240" w:after="0" w:line="240" w:lineRule="auto"/>
        <w:jc w:val="center"/>
        <w:rPr>
          <w:rFonts w:ascii="Times New Roman" w:hAnsi="Times New Roman" w:cs="Times New Roman"/>
          <w:b/>
          <w:sz w:val="24"/>
          <w:szCs w:val="24"/>
        </w:rPr>
      </w:pPr>
      <w:r w:rsidRPr="00616653">
        <w:rPr>
          <w:rFonts w:ascii="Times New Roman" w:hAnsi="Times New Roman" w:cs="Times New Roman"/>
          <w:b/>
          <w:bCs/>
          <w:sz w:val="24"/>
          <w:szCs w:val="24"/>
        </w:rPr>
        <w:t xml:space="preserve">Estimación del modelo de media constante en la formación bruta de capital </w:t>
      </w:r>
      <w:proofErr w:type="gramStart"/>
      <w:r w:rsidRPr="00616653">
        <w:rPr>
          <w:rFonts w:ascii="Times New Roman" w:hAnsi="Times New Roman" w:cs="Times New Roman"/>
          <w:b/>
          <w:bCs/>
          <w:sz w:val="24"/>
          <w:szCs w:val="24"/>
        </w:rPr>
        <w:t>fijo pública</w:t>
      </w:r>
      <w:proofErr w:type="gramEnd"/>
      <w:r w:rsidRPr="00616653">
        <w:rPr>
          <w:rFonts w:ascii="Times New Roman" w:hAnsi="Times New Roman" w:cs="Times New Roman"/>
          <w:b/>
          <w:bCs/>
          <w:sz w:val="24"/>
          <w:szCs w:val="24"/>
        </w:rPr>
        <w:t xml:space="preserve"> total</w:t>
      </w:r>
    </w:p>
    <w:tbl>
      <w:tblPr>
        <w:tblStyle w:val="Tabladecuadrcula1clara1"/>
        <w:tblW w:w="0" w:type="auto"/>
        <w:tblLook w:val="04A0" w:firstRow="1" w:lastRow="0" w:firstColumn="1" w:lastColumn="0" w:noHBand="0" w:noVBand="1"/>
      </w:tblPr>
      <w:tblGrid>
        <w:gridCol w:w="1073"/>
        <w:gridCol w:w="1743"/>
        <w:gridCol w:w="1810"/>
        <w:gridCol w:w="2651"/>
        <w:gridCol w:w="1261"/>
        <w:gridCol w:w="516"/>
      </w:tblGrid>
      <w:tr w:rsidR="00B07068" w:rsidRPr="00863D0E" w:rsidTr="00A062CC">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Trimestre</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t xml:space="preserve">Rendimiento </w:t>
            </w:r>
            <w:r w:rsidRPr="00863D0E">
              <w:rPr>
                <w:rFonts w:ascii="Times New Roman" w:hAnsi="Times New Roman" w:cs="Times New Roman"/>
                <w:sz w:val="20"/>
                <w:szCs w:val="20"/>
              </w:rPr>
              <w:lastRenderedPageBreak/>
              <w:t>Normal</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lastRenderedPageBreak/>
              <w:t xml:space="preserve">Rendimiento </w:t>
            </w:r>
            <w:r w:rsidRPr="00863D0E">
              <w:rPr>
                <w:rFonts w:ascii="Times New Roman" w:hAnsi="Times New Roman" w:cs="Times New Roman"/>
                <w:sz w:val="20"/>
                <w:szCs w:val="20"/>
              </w:rPr>
              <w:lastRenderedPageBreak/>
              <w:t>Anormal</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lastRenderedPageBreak/>
              <w:t xml:space="preserve">Rendimiento Anormal </w:t>
            </w:r>
            <w:r w:rsidRPr="00863D0E">
              <w:rPr>
                <w:rFonts w:ascii="Times New Roman" w:hAnsi="Times New Roman" w:cs="Times New Roman"/>
                <w:sz w:val="20"/>
                <w:szCs w:val="20"/>
              </w:rPr>
              <w:lastRenderedPageBreak/>
              <w:t>Estandarizado</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63D0E">
              <w:rPr>
                <w:rFonts w:ascii="Times New Roman" w:hAnsi="Times New Roman" w:cs="Times New Roman"/>
                <w:sz w:val="20"/>
                <w:szCs w:val="20"/>
              </w:rPr>
              <w:lastRenderedPageBreak/>
              <w:t xml:space="preserve">Estadístico </w:t>
            </w:r>
            <w:r w:rsidRPr="00863D0E">
              <w:rPr>
                <w:rFonts w:ascii="Times New Roman" w:hAnsi="Times New Roman" w:cs="Times New Roman"/>
                <w:sz w:val="20"/>
                <w:szCs w:val="20"/>
              </w:rPr>
              <w:lastRenderedPageBreak/>
              <w:t>T</w:t>
            </w:r>
          </w:p>
        </w:tc>
        <w:tc>
          <w:tcPr>
            <w:tcW w:w="0" w:type="auto"/>
            <w:vAlign w:val="center"/>
            <w:hideMark/>
          </w:tcPr>
          <w:p w:rsidR="00B07068" w:rsidRPr="00863D0E" w:rsidRDefault="00B07068" w:rsidP="00863D0E">
            <w:pPr>
              <w:spacing w:before="240" w:after="1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-0.0248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-0.0014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0.1929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1.5434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0.0089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0.0323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0.3341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2.6729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0.0307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0.0541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0.6978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5.5821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863D0E" w:rsidP="00863D0E">
            <w:pPr>
              <w:spacing w:before="240" w:after="160"/>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-0.0539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-0.0305</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-0.3886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-3.1091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1</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-0.0534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-0.0300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-0.6640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-5.3116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2</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-0.0447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-0.0213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-0.3719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-2.9748</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-0.0737</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-0.0503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-0.6349</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-5.0793</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r w:rsidR="00B07068" w:rsidRPr="00863D0E" w:rsidTr="00A062CC">
        <w:trPr>
          <w:trHeight w:val="48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B07068" w:rsidRPr="00863D0E" w:rsidRDefault="00B07068" w:rsidP="00863D0E">
            <w:pPr>
              <w:spacing w:before="240" w:after="160"/>
              <w:jc w:val="center"/>
              <w:rPr>
                <w:rFonts w:ascii="Times New Roman" w:hAnsi="Times New Roman" w:cs="Times New Roman"/>
                <w:sz w:val="20"/>
                <w:szCs w:val="20"/>
              </w:rPr>
            </w:pPr>
            <w:r w:rsidRPr="00863D0E">
              <w:rPr>
                <w:rFonts w:ascii="Times New Roman" w:hAnsi="Times New Roman" w:cs="Times New Roman"/>
                <w:sz w:val="20"/>
                <w:szCs w:val="20"/>
              </w:rPr>
              <w:t>4</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0.0236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0.0470</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0.8346</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6.6765</w:t>
            </w:r>
          </w:p>
        </w:tc>
        <w:tc>
          <w:tcPr>
            <w:tcW w:w="0" w:type="auto"/>
            <w:vAlign w:val="center"/>
            <w:hideMark/>
          </w:tcPr>
          <w:p w:rsidR="00B07068" w:rsidRPr="00863D0E" w:rsidRDefault="00B07068" w:rsidP="00863D0E">
            <w:pPr>
              <w:spacing w:before="240"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863D0E">
              <w:rPr>
                <w:rFonts w:ascii="Times New Roman" w:hAnsi="Times New Roman" w:cs="Times New Roman"/>
                <w:b/>
                <w:sz w:val="20"/>
                <w:szCs w:val="20"/>
              </w:rPr>
              <w:t>***</w:t>
            </w:r>
          </w:p>
        </w:tc>
      </w:tr>
    </w:tbl>
    <w:p w:rsidR="00B07068" w:rsidRPr="00616653" w:rsidRDefault="00B07068" w:rsidP="00863D0E">
      <w:pPr>
        <w:spacing w:before="240" w:after="0" w:line="240" w:lineRule="auto"/>
        <w:rPr>
          <w:rFonts w:ascii="Times New Roman" w:hAnsi="Times New Roman" w:cs="Times New Roman"/>
          <w:b/>
          <w:sz w:val="24"/>
          <w:szCs w:val="24"/>
        </w:rPr>
      </w:pPr>
      <w:r w:rsidRPr="00616653">
        <w:rPr>
          <w:rFonts w:ascii="Times New Roman" w:hAnsi="Times New Roman" w:cs="Times New Roman"/>
          <w:b/>
          <w:sz w:val="24"/>
          <w:szCs w:val="24"/>
        </w:rPr>
        <w:t>* Significativo al 90%. ** Significativo al 95%. *** Significativo al 99%.</w:t>
      </w:r>
    </w:p>
    <w:p w:rsidR="00B07068" w:rsidRPr="00616653" w:rsidRDefault="00B07068" w:rsidP="00863D0E">
      <w:pPr>
        <w:spacing w:before="240" w:line="240" w:lineRule="auto"/>
        <w:rPr>
          <w:rFonts w:ascii="Times New Roman" w:hAnsi="Times New Roman" w:cs="Times New Roman"/>
          <w:b/>
          <w:sz w:val="24"/>
          <w:szCs w:val="24"/>
        </w:rPr>
      </w:pPr>
      <w:r w:rsidRPr="00616653">
        <w:rPr>
          <w:rFonts w:ascii="Times New Roman" w:hAnsi="Times New Roman" w:cs="Times New Roman"/>
          <w:b/>
          <w:sz w:val="24"/>
          <w:szCs w:val="24"/>
        </w:rPr>
        <w:t>Fuente: Elaboración propia con datos del INEGI</w:t>
      </w:r>
    </w:p>
    <w:p w:rsidR="00B07068" w:rsidRPr="00616653" w:rsidRDefault="00B07068" w:rsidP="00863D0E">
      <w:pPr>
        <w:spacing w:before="240" w:after="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 xml:space="preserve">Se </w:t>
      </w:r>
      <w:r w:rsidR="00CD10AA">
        <w:rPr>
          <w:rFonts w:ascii="Times New Roman" w:hAnsi="Times New Roman" w:cs="Times New Roman"/>
          <w:sz w:val="24"/>
          <w:szCs w:val="24"/>
        </w:rPr>
        <w:t>observa</w:t>
      </w:r>
      <w:r w:rsidRPr="00616653">
        <w:rPr>
          <w:rFonts w:ascii="Times New Roman" w:hAnsi="Times New Roman" w:cs="Times New Roman"/>
          <w:sz w:val="24"/>
          <w:szCs w:val="24"/>
        </w:rPr>
        <w:t xml:space="preserve"> observar que el </w:t>
      </w:r>
      <w:r w:rsidR="00CD10AA">
        <w:rPr>
          <w:rFonts w:ascii="Times New Roman" w:hAnsi="Times New Roman" w:cs="Times New Roman"/>
          <w:sz w:val="24"/>
          <w:szCs w:val="24"/>
        </w:rPr>
        <w:t>crecimiento</w:t>
      </w:r>
      <w:r w:rsidRPr="00616653">
        <w:rPr>
          <w:rFonts w:ascii="Times New Roman" w:hAnsi="Times New Roman" w:cs="Times New Roman"/>
          <w:sz w:val="24"/>
          <w:szCs w:val="24"/>
        </w:rPr>
        <w:t xml:space="preserve"> anormal estandarizado de la formación bruta de capital fijo público total </w:t>
      </w:r>
      <w:r>
        <w:rPr>
          <w:rFonts w:ascii="Times New Roman" w:hAnsi="Times New Roman" w:cs="Times New Roman"/>
          <w:sz w:val="24"/>
          <w:szCs w:val="24"/>
        </w:rPr>
        <w:t xml:space="preserve">en general </w:t>
      </w:r>
      <w:r w:rsidRPr="00616653">
        <w:rPr>
          <w:rFonts w:ascii="Times New Roman" w:hAnsi="Times New Roman" w:cs="Times New Roman"/>
          <w:sz w:val="24"/>
          <w:szCs w:val="24"/>
        </w:rPr>
        <w:t>presenta los signos espera</w:t>
      </w:r>
      <w:r>
        <w:rPr>
          <w:rFonts w:ascii="Times New Roman" w:hAnsi="Times New Roman" w:cs="Times New Roman"/>
          <w:sz w:val="24"/>
          <w:szCs w:val="24"/>
        </w:rPr>
        <w:t>dos,</w:t>
      </w:r>
      <w:r w:rsidRPr="00616653">
        <w:rPr>
          <w:rFonts w:ascii="Times New Roman" w:hAnsi="Times New Roman" w:cs="Times New Roman"/>
          <w:sz w:val="24"/>
          <w:szCs w:val="24"/>
        </w:rPr>
        <w:t xml:space="preserve"> ya que la de la formación de capital promedio para el sector público aumenta en el último año de cada sexenio y disminuye en el primer año del sexenio siguiente.</w:t>
      </w:r>
    </w:p>
    <w:p w:rsidR="00B07068" w:rsidRPr="00616653" w:rsidRDefault="00B07068" w:rsidP="00863D0E">
      <w:pPr>
        <w:spacing w:before="240" w:after="0" w:line="240" w:lineRule="auto"/>
        <w:ind w:firstLine="708"/>
        <w:jc w:val="both"/>
        <w:rPr>
          <w:rFonts w:ascii="Times New Roman" w:hAnsi="Times New Roman" w:cs="Times New Roman"/>
          <w:sz w:val="24"/>
          <w:szCs w:val="24"/>
        </w:rPr>
      </w:pPr>
      <w:r w:rsidRPr="00616653">
        <w:rPr>
          <w:rFonts w:ascii="Times New Roman" w:hAnsi="Times New Roman" w:cs="Times New Roman"/>
          <w:sz w:val="24"/>
          <w:szCs w:val="24"/>
        </w:rPr>
        <w:t>De hecho, el rendimiento anormal estandarizado de la f</w:t>
      </w:r>
      <w:r>
        <w:rPr>
          <w:rFonts w:ascii="Times New Roman" w:hAnsi="Times New Roman" w:cs="Times New Roman"/>
          <w:sz w:val="24"/>
          <w:szCs w:val="24"/>
        </w:rPr>
        <w:t xml:space="preserve">ormación de capital </w:t>
      </w:r>
      <w:r w:rsidRPr="00616653">
        <w:rPr>
          <w:rFonts w:ascii="Times New Roman" w:hAnsi="Times New Roman" w:cs="Times New Roman"/>
          <w:sz w:val="24"/>
          <w:szCs w:val="24"/>
        </w:rPr>
        <w:t>público tiene signos positivos y significativos en los trimestres (-</w:t>
      </w:r>
      <w:r w:rsidR="00CD10AA">
        <w:rPr>
          <w:rFonts w:ascii="Times New Roman" w:hAnsi="Times New Roman" w:cs="Times New Roman"/>
          <w:sz w:val="24"/>
          <w:szCs w:val="24"/>
        </w:rPr>
        <w:t>3</w:t>
      </w:r>
      <w:r w:rsidRPr="00616653">
        <w:rPr>
          <w:rFonts w:ascii="Times New Roman" w:hAnsi="Times New Roman" w:cs="Times New Roman"/>
          <w:sz w:val="24"/>
          <w:szCs w:val="24"/>
        </w:rPr>
        <w:t>) y (-</w:t>
      </w:r>
      <w:r w:rsidR="00CD10AA">
        <w:rPr>
          <w:rFonts w:ascii="Times New Roman" w:hAnsi="Times New Roman" w:cs="Times New Roman"/>
          <w:sz w:val="24"/>
          <w:szCs w:val="24"/>
        </w:rPr>
        <w:t>2</w:t>
      </w:r>
      <w:r w:rsidRPr="00616653">
        <w:rPr>
          <w:rFonts w:ascii="Times New Roman" w:hAnsi="Times New Roman" w:cs="Times New Roman"/>
          <w:sz w:val="24"/>
          <w:szCs w:val="24"/>
        </w:rPr>
        <w:t>), y tiene signos negativos y significativos en los trimestres 1, 2 y 3.</w:t>
      </w:r>
    </w:p>
    <w:p w:rsidR="00447099" w:rsidRDefault="00447099" w:rsidP="00863D0E">
      <w:pPr>
        <w:spacing w:before="240" w:line="240" w:lineRule="auto"/>
        <w:ind w:firstLine="708"/>
        <w:rPr>
          <w:rFonts w:ascii="Times New Roman" w:hAnsi="Times New Roman"/>
          <w:sz w:val="24"/>
          <w:szCs w:val="24"/>
        </w:rPr>
      </w:pPr>
    </w:p>
    <w:p w:rsidR="00CB5F28" w:rsidRPr="00F178ED" w:rsidRDefault="008D65DD" w:rsidP="00863D0E">
      <w:pPr>
        <w:spacing w:before="240" w:line="240" w:lineRule="auto"/>
        <w:rPr>
          <w:rFonts w:ascii="Times New Roman" w:hAnsi="Times New Roman" w:cs="Times New Roman"/>
          <w:b/>
          <w:sz w:val="24"/>
          <w:szCs w:val="24"/>
        </w:rPr>
      </w:pPr>
      <w:r>
        <w:rPr>
          <w:rFonts w:ascii="Times New Roman" w:hAnsi="Times New Roman" w:cs="Times New Roman"/>
          <w:b/>
          <w:sz w:val="24"/>
          <w:szCs w:val="24"/>
        </w:rPr>
        <w:t xml:space="preserve">7.- </w:t>
      </w:r>
      <w:r w:rsidR="00CB5F28" w:rsidRPr="00F178ED">
        <w:rPr>
          <w:rFonts w:ascii="Times New Roman" w:hAnsi="Times New Roman" w:cs="Times New Roman"/>
          <w:b/>
          <w:sz w:val="24"/>
          <w:szCs w:val="24"/>
        </w:rPr>
        <w:t>Conclusiones</w:t>
      </w:r>
    </w:p>
    <w:p w:rsidR="00B656CB" w:rsidRDefault="00CD10AA" w:rsidP="00CD10AA">
      <w:pPr>
        <w:spacing w:before="240" w:line="240" w:lineRule="auto"/>
        <w:ind w:firstLine="708"/>
        <w:rPr>
          <w:rFonts w:ascii="Times New Roman" w:hAnsi="Times New Roman"/>
          <w:sz w:val="24"/>
          <w:szCs w:val="24"/>
        </w:rPr>
      </w:pPr>
      <w:r>
        <w:rPr>
          <w:rFonts w:ascii="Times New Roman" w:hAnsi="Times New Roman"/>
          <w:sz w:val="24"/>
          <w:szCs w:val="24"/>
        </w:rPr>
        <w:t>E</w:t>
      </w:r>
      <w:r w:rsidR="00C73FB9">
        <w:rPr>
          <w:rFonts w:ascii="Times New Roman" w:hAnsi="Times New Roman"/>
          <w:sz w:val="24"/>
          <w:szCs w:val="24"/>
        </w:rPr>
        <w:t>n e</w:t>
      </w:r>
      <w:r>
        <w:rPr>
          <w:rFonts w:ascii="Times New Roman" w:hAnsi="Times New Roman"/>
          <w:sz w:val="24"/>
          <w:szCs w:val="24"/>
        </w:rPr>
        <w:t>ste trabajo</w:t>
      </w:r>
      <w:r w:rsidR="00C73FB9">
        <w:rPr>
          <w:rFonts w:ascii="Times New Roman" w:hAnsi="Times New Roman"/>
          <w:sz w:val="24"/>
          <w:szCs w:val="24"/>
        </w:rPr>
        <w:t xml:space="preserve"> se confirma la desaceleración </w:t>
      </w:r>
      <w:r>
        <w:rPr>
          <w:rFonts w:ascii="Times New Roman" w:hAnsi="Times New Roman"/>
          <w:sz w:val="24"/>
          <w:szCs w:val="24"/>
        </w:rPr>
        <w:t xml:space="preserve">en la formación de capital total, público y privado, durante </w:t>
      </w:r>
      <w:r w:rsidR="00C73FB9">
        <w:rPr>
          <w:rFonts w:ascii="Times New Roman" w:hAnsi="Times New Roman"/>
          <w:sz w:val="24"/>
          <w:szCs w:val="24"/>
        </w:rPr>
        <w:t>e</w:t>
      </w:r>
      <w:r>
        <w:rPr>
          <w:rFonts w:ascii="Times New Roman" w:hAnsi="Times New Roman"/>
          <w:sz w:val="24"/>
          <w:szCs w:val="24"/>
        </w:rPr>
        <w:t>l primer año de las administraciones presidenciales entre 1994 y 2015. Esta desaceleración forma parte de la llamada “maldición del primer año”, que se presenta en la actividad económica en general y en el gasto público federal (Gámez, 2012, Gámez y Amarillas, 2011).</w:t>
      </w:r>
    </w:p>
    <w:p w:rsidR="00B8167C" w:rsidRDefault="00B8167C" w:rsidP="00B8167C">
      <w:pPr>
        <w:spacing w:line="240" w:lineRule="auto"/>
        <w:ind w:firstLine="708"/>
        <w:jc w:val="both"/>
        <w:rPr>
          <w:rFonts w:ascii="Times New Roman" w:hAnsi="Times New Roman"/>
          <w:sz w:val="24"/>
          <w:szCs w:val="24"/>
        </w:rPr>
      </w:pPr>
      <w:r>
        <w:rPr>
          <w:rFonts w:ascii="Times New Roman" w:hAnsi="Times New Roman"/>
          <w:sz w:val="24"/>
          <w:szCs w:val="24"/>
        </w:rPr>
        <w:lastRenderedPageBreak/>
        <w:t>La presencia de un CPE en México tiene varias implicaciones importantes. En primer  lugar, ayuda a mejorar el análisis de la economía mexicana, introduciendo un elemento que generalmente no se considera en los marcos analíticos tradicionales.</w:t>
      </w:r>
    </w:p>
    <w:p w:rsidR="00B8167C" w:rsidRDefault="00B8167C" w:rsidP="00B8167C">
      <w:pPr>
        <w:spacing w:line="240" w:lineRule="auto"/>
        <w:ind w:firstLine="708"/>
        <w:jc w:val="both"/>
        <w:rPr>
          <w:rFonts w:ascii="Times New Roman" w:hAnsi="Times New Roman"/>
          <w:sz w:val="24"/>
          <w:szCs w:val="24"/>
        </w:rPr>
      </w:pPr>
      <w:r>
        <w:rPr>
          <w:rFonts w:ascii="Times New Roman" w:hAnsi="Times New Roman"/>
          <w:sz w:val="24"/>
          <w:szCs w:val="24"/>
        </w:rPr>
        <w:t xml:space="preserve">Una de las características principales del CPE es que, a diferencia de los enfoques tradicionales del estudio de los ciclos económicos, el CPE se presenta en intervalos regulares, y por lo tanto, es eventualmente </w:t>
      </w:r>
      <w:r w:rsidRPr="000460CA">
        <w:rPr>
          <w:rFonts w:ascii="Times New Roman" w:hAnsi="Times New Roman"/>
          <w:i/>
          <w:sz w:val="24"/>
          <w:szCs w:val="24"/>
        </w:rPr>
        <w:t>predecible.</w:t>
      </w:r>
    </w:p>
    <w:p w:rsidR="00B8167C" w:rsidRDefault="00B8167C" w:rsidP="00B8167C">
      <w:pPr>
        <w:spacing w:line="240" w:lineRule="auto"/>
        <w:ind w:firstLine="708"/>
        <w:jc w:val="both"/>
        <w:rPr>
          <w:rFonts w:ascii="Times New Roman" w:hAnsi="Times New Roman"/>
          <w:sz w:val="24"/>
          <w:szCs w:val="24"/>
        </w:rPr>
      </w:pPr>
      <w:r>
        <w:rPr>
          <w:rFonts w:ascii="Times New Roman" w:hAnsi="Times New Roman"/>
          <w:sz w:val="24"/>
          <w:szCs w:val="24"/>
        </w:rPr>
        <w:t>El conocimiento de los patrones de comportamiento de lo</w:t>
      </w:r>
      <w:r>
        <w:rPr>
          <w:rFonts w:ascii="Times New Roman" w:hAnsi="Times New Roman"/>
          <w:sz w:val="24"/>
          <w:szCs w:val="24"/>
        </w:rPr>
        <w:t>a formación de capital</w:t>
      </w:r>
      <w:r>
        <w:rPr>
          <w:rFonts w:ascii="Times New Roman" w:hAnsi="Times New Roman"/>
          <w:sz w:val="24"/>
          <w:szCs w:val="24"/>
        </w:rPr>
        <w:t xml:space="preserve"> alrededor de los cambios de administración presidencial tiene importantes implicaciones para las empresas que operan en México</w:t>
      </w:r>
      <w:r>
        <w:rPr>
          <w:rFonts w:ascii="Times New Roman" w:hAnsi="Times New Roman"/>
          <w:sz w:val="24"/>
          <w:szCs w:val="24"/>
        </w:rPr>
        <w:t xml:space="preserve">. </w:t>
      </w:r>
      <w:r>
        <w:rPr>
          <w:rFonts w:ascii="Times New Roman" w:hAnsi="Times New Roman"/>
          <w:sz w:val="24"/>
          <w:szCs w:val="24"/>
        </w:rPr>
        <w:t>La incorporación de los elementos asociados al CPE permitirá mejorar la planeación de las empresas y proporciona elementos para ajustar la elaboración de escenarios, disminuir el riesgo percibido (y calculado) en la evaluación de proyectos de inversión y las estrategias de cobertura</w:t>
      </w:r>
      <w:r>
        <w:rPr>
          <w:rFonts w:ascii="Times New Roman" w:hAnsi="Times New Roman"/>
          <w:sz w:val="24"/>
          <w:szCs w:val="24"/>
        </w:rPr>
        <w:t>.</w:t>
      </w:r>
    </w:p>
    <w:p w:rsidR="00B8167C" w:rsidRDefault="00B8167C" w:rsidP="00B8167C">
      <w:pPr>
        <w:spacing w:line="240" w:lineRule="auto"/>
        <w:ind w:firstLine="708"/>
        <w:jc w:val="both"/>
        <w:rPr>
          <w:rFonts w:ascii="Times New Roman" w:hAnsi="Times New Roman"/>
          <w:sz w:val="24"/>
          <w:szCs w:val="24"/>
        </w:rPr>
      </w:pPr>
      <w:r>
        <w:rPr>
          <w:rFonts w:ascii="Times New Roman" w:hAnsi="Times New Roman"/>
          <w:sz w:val="24"/>
          <w:szCs w:val="24"/>
        </w:rPr>
        <w:t>Una de las limitaciones de este trabajo es que se refiere solamente al caso de México. Sin embargo, el análisis se puede aplicar a otros países emergentes en los cuales se ha detectado la presencia del CPE, como Argentina, Bolivia, Brasil, Chile, Colombia, Ecuador, Turquía, entre otros.</w:t>
      </w:r>
    </w:p>
    <w:p w:rsidR="00B8167C" w:rsidRDefault="00B8167C" w:rsidP="00B8167C">
      <w:pPr>
        <w:spacing w:before="240" w:line="240" w:lineRule="auto"/>
        <w:ind w:firstLine="708"/>
        <w:jc w:val="both"/>
        <w:rPr>
          <w:rFonts w:ascii="Times New Roman" w:hAnsi="Times New Roman"/>
          <w:bCs/>
          <w:sz w:val="24"/>
          <w:szCs w:val="24"/>
          <w:lang w:val="es-ES"/>
        </w:rPr>
      </w:pPr>
      <w:r>
        <w:rPr>
          <w:rFonts w:ascii="Times New Roman" w:hAnsi="Times New Roman"/>
          <w:bCs/>
          <w:sz w:val="24"/>
          <w:szCs w:val="24"/>
          <w:lang w:val="es-ES"/>
        </w:rPr>
        <w:t>Entre las líneas de investigación se pueden apuntar las siguientes: en primer lugar, es posible extender este est</w:t>
      </w:r>
      <w:r>
        <w:rPr>
          <w:rFonts w:ascii="Times New Roman" w:hAnsi="Times New Roman"/>
          <w:bCs/>
          <w:sz w:val="24"/>
          <w:szCs w:val="24"/>
          <w:lang w:val="es-ES"/>
        </w:rPr>
        <w:t xml:space="preserve">udio a la totalidad de las clasificaciones de formación de capital </w:t>
      </w:r>
      <w:r>
        <w:rPr>
          <w:rFonts w:ascii="Times New Roman" w:hAnsi="Times New Roman"/>
          <w:bCs/>
          <w:sz w:val="24"/>
          <w:szCs w:val="24"/>
          <w:lang w:val="es-ES"/>
        </w:rPr>
        <w:t xml:space="preserve">es que reporta el INEGI. </w:t>
      </w:r>
      <w:r>
        <w:rPr>
          <w:rFonts w:ascii="Times New Roman" w:hAnsi="Times New Roman"/>
          <w:bCs/>
          <w:sz w:val="24"/>
          <w:szCs w:val="24"/>
          <w:lang w:val="es-ES"/>
        </w:rPr>
        <w:t>Esta clasificación incluye formación de capital en construcción y maquinaria y equipo, tanto del sector privado como del sector público</w:t>
      </w:r>
    </w:p>
    <w:p w:rsidR="00B8167C" w:rsidRDefault="00B8167C" w:rsidP="00B8167C">
      <w:pPr>
        <w:spacing w:before="240" w:line="240" w:lineRule="auto"/>
        <w:ind w:firstLine="708"/>
        <w:jc w:val="both"/>
        <w:rPr>
          <w:rFonts w:ascii="Times New Roman" w:hAnsi="Times New Roman"/>
          <w:bCs/>
          <w:sz w:val="24"/>
          <w:szCs w:val="24"/>
          <w:lang w:val="es-ES"/>
        </w:rPr>
      </w:pPr>
      <w:r>
        <w:rPr>
          <w:rFonts w:ascii="Times New Roman" w:hAnsi="Times New Roman"/>
          <w:bCs/>
          <w:sz w:val="24"/>
          <w:szCs w:val="24"/>
          <w:lang w:val="es-ES"/>
        </w:rPr>
        <w:t xml:space="preserve">Relacionada con lo anterior, otra línea de investigación es el investigar el efecto que tiene la desaceleración </w:t>
      </w:r>
      <w:r>
        <w:rPr>
          <w:rFonts w:ascii="Times New Roman" w:hAnsi="Times New Roman"/>
          <w:bCs/>
          <w:sz w:val="24"/>
          <w:szCs w:val="24"/>
          <w:lang w:val="es-ES"/>
        </w:rPr>
        <w:t xml:space="preserve">de la formación de capital </w:t>
      </w:r>
      <w:r>
        <w:rPr>
          <w:rFonts w:ascii="Times New Roman" w:hAnsi="Times New Roman"/>
          <w:bCs/>
          <w:sz w:val="24"/>
          <w:szCs w:val="24"/>
          <w:lang w:val="es-ES"/>
        </w:rPr>
        <w:t>en otros factores, como la productividad del trabajo y de los factores productivos en general.</w:t>
      </w:r>
    </w:p>
    <w:p w:rsidR="00B8167C" w:rsidRDefault="00B8167C" w:rsidP="00B8167C">
      <w:pPr>
        <w:spacing w:before="240" w:line="240" w:lineRule="auto"/>
        <w:ind w:firstLine="708"/>
        <w:jc w:val="both"/>
        <w:rPr>
          <w:rFonts w:ascii="Times New Roman" w:hAnsi="Times New Roman"/>
          <w:bCs/>
          <w:sz w:val="24"/>
          <w:szCs w:val="24"/>
          <w:lang w:val="es-ES"/>
        </w:rPr>
      </w:pPr>
      <w:r>
        <w:rPr>
          <w:rFonts w:ascii="Times New Roman" w:hAnsi="Times New Roman"/>
          <w:bCs/>
          <w:sz w:val="24"/>
          <w:szCs w:val="24"/>
          <w:lang w:val="es-ES"/>
        </w:rPr>
        <w:t xml:space="preserve">Otra línea de investigación </w:t>
      </w:r>
      <w:r>
        <w:rPr>
          <w:rFonts w:ascii="Times New Roman" w:hAnsi="Times New Roman"/>
          <w:bCs/>
          <w:sz w:val="24"/>
          <w:szCs w:val="24"/>
          <w:lang w:val="es-ES"/>
        </w:rPr>
        <w:t>sería</w:t>
      </w:r>
      <w:r>
        <w:rPr>
          <w:rFonts w:ascii="Times New Roman" w:hAnsi="Times New Roman"/>
          <w:bCs/>
          <w:sz w:val="24"/>
          <w:szCs w:val="24"/>
          <w:lang w:val="es-ES"/>
        </w:rPr>
        <w:t xml:space="preserve"> calcular los costos que tiene la desaceleración de</w:t>
      </w:r>
      <w:r>
        <w:rPr>
          <w:rFonts w:ascii="Times New Roman" w:hAnsi="Times New Roman"/>
          <w:bCs/>
          <w:sz w:val="24"/>
          <w:szCs w:val="24"/>
          <w:lang w:val="es-ES"/>
        </w:rPr>
        <w:t xml:space="preserve"> la formación de capital </w:t>
      </w:r>
      <w:r>
        <w:rPr>
          <w:rFonts w:ascii="Times New Roman" w:hAnsi="Times New Roman"/>
          <w:bCs/>
          <w:sz w:val="24"/>
          <w:szCs w:val="24"/>
          <w:lang w:val="es-ES"/>
        </w:rPr>
        <w:t>en aspectos como el PIB potencial, el crecimiento sostenido y, en última instancia, en los niveles de ingreso y bienestar de la población mexicana.</w:t>
      </w:r>
    </w:p>
    <w:p w:rsidR="00B8167C" w:rsidRDefault="00B8167C" w:rsidP="00B8167C">
      <w:pPr>
        <w:spacing w:line="240" w:lineRule="auto"/>
        <w:ind w:firstLine="708"/>
        <w:jc w:val="both"/>
        <w:rPr>
          <w:rFonts w:ascii="Times New Roman" w:hAnsi="Times New Roman"/>
          <w:sz w:val="24"/>
          <w:szCs w:val="24"/>
        </w:rPr>
      </w:pPr>
    </w:p>
    <w:p w:rsidR="00B8167C" w:rsidRDefault="00B8167C" w:rsidP="00B8167C">
      <w:pPr>
        <w:spacing w:before="240" w:line="240" w:lineRule="auto"/>
        <w:ind w:firstLine="708"/>
        <w:rPr>
          <w:rFonts w:ascii="Times New Roman" w:hAnsi="Times New Roman"/>
          <w:sz w:val="24"/>
          <w:szCs w:val="24"/>
        </w:rPr>
      </w:pPr>
    </w:p>
    <w:p w:rsidR="00CD10AA" w:rsidRDefault="00CD10AA" w:rsidP="00CD10AA">
      <w:pPr>
        <w:spacing w:before="240" w:line="240" w:lineRule="auto"/>
        <w:ind w:firstLine="708"/>
        <w:rPr>
          <w:rFonts w:ascii="Times New Roman" w:hAnsi="Times New Roman"/>
          <w:sz w:val="24"/>
          <w:szCs w:val="24"/>
        </w:rPr>
      </w:pPr>
    </w:p>
    <w:p w:rsidR="00CD10AA" w:rsidRPr="00CD10AA" w:rsidRDefault="00CD10AA" w:rsidP="00863D0E">
      <w:pPr>
        <w:spacing w:before="240" w:line="240" w:lineRule="auto"/>
        <w:rPr>
          <w:rFonts w:ascii="Times New Roman" w:hAnsi="Times New Roman"/>
          <w:sz w:val="24"/>
          <w:szCs w:val="24"/>
        </w:rPr>
      </w:pPr>
      <w:r>
        <w:rPr>
          <w:rFonts w:ascii="Times New Roman" w:hAnsi="Times New Roman"/>
          <w:sz w:val="24"/>
          <w:szCs w:val="24"/>
        </w:rPr>
        <w:tab/>
      </w:r>
    </w:p>
    <w:p w:rsidR="000749BF" w:rsidRDefault="000749BF" w:rsidP="00863D0E">
      <w:pPr>
        <w:spacing w:before="240" w:line="240" w:lineRule="auto"/>
        <w:rPr>
          <w:rFonts w:ascii="Times New Roman" w:hAnsi="Times New Roman"/>
          <w:b/>
          <w:sz w:val="28"/>
          <w:szCs w:val="28"/>
        </w:rPr>
      </w:pPr>
    </w:p>
    <w:p w:rsidR="000749BF" w:rsidRDefault="000749BF" w:rsidP="00863D0E">
      <w:pPr>
        <w:spacing w:before="240" w:line="240" w:lineRule="auto"/>
        <w:rPr>
          <w:rFonts w:ascii="Times New Roman" w:hAnsi="Times New Roman"/>
          <w:b/>
          <w:sz w:val="28"/>
          <w:szCs w:val="28"/>
        </w:rPr>
      </w:pPr>
    </w:p>
    <w:p w:rsidR="000749BF" w:rsidRDefault="000749BF" w:rsidP="00863D0E">
      <w:pPr>
        <w:spacing w:before="240" w:line="240" w:lineRule="auto"/>
        <w:rPr>
          <w:rFonts w:ascii="Times New Roman" w:hAnsi="Times New Roman"/>
          <w:b/>
          <w:sz w:val="28"/>
          <w:szCs w:val="28"/>
        </w:rPr>
      </w:pPr>
    </w:p>
    <w:p w:rsidR="00B8167C" w:rsidRDefault="00B8167C" w:rsidP="00863D0E">
      <w:pPr>
        <w:spacing w:before="240" w:line="240" w:lineRule="auto"/>
        <w:rPr>
          <w:rFonts w:ascii="Times New Roman" w:hAnsi="Times New Roman"/>
          <w:b/>
          <w:sz w:val="28"/>
          <w:szCs w:val="28"/>
        </w:rPr>
      </w:pPr>
    </w:p>
    <w:p w:rsidR="00551A9B" w:rsidRPr="00B20EF1" w:rsidRDefault="00551A9B" w:rsidP="00863D0E">
      <w:pPr>
        <w:spacing w:before="240" w:line="240" w:lineRule="auto"/>
        <w:rPr>
          <w:rFonts w:ascii="Times New Roman" w:hAnsi="Times New Roman"/>
          <w:b/>
          <w:sz w:val="28"/>
          <w:szCs w:val="28"/>
        </w:rPr>
      </w:pPr>
      <w:r w:rsidRPr="00B20EF1">
        <w:rPr>
          <w:rFonts w:ascii="Times New Roman" w:hAnsi="Times New Roman"/>
          <w:b/>
          <w:sz w:val="28"/>
          <w:szCs w:val="28"/>
        </w:rPr>
        <w:lastRenderedPageBreak/>
        <w:t>Referencias</w:t>
      </w:r>
    </w:p>
    <w:p w:rsidR="00551A9B" w:rsidRDefault="00551A9B" w:rsidP="00863D0E">
      <w:pPr>
        <w:spacing w:before="240" w:line="240" w:lineRule="auto"/>
        <w:ind w:firstLine="708"/>
        <w:rPr>
          <w:rFonts w:ascii="Times New Roman" w:hAnsi="Times New Roman"/>
          <w:sz w:val="24"/>
          <w:szCs w:val="24"/>
          <w:lang w:val="en-US"/>
        </w:rPr>
      </w:pPr>
      <w:proofErr w:type="spellStart"/>
      <w:r>
        <w:rPr>
          <w:rFonts w:ascii="Times New Roman" w:hAnsi="Times New Roman"/>
          <w:sz w:val="24"/>
          <w:szCs w:val="24"/>
        </w:rPr>
        <w:t>Akhmedov</w:t>
      </w:r>
      <w:proofErr w:type="spellEnd"/>
      <w:r>
        <w:rPr>
          <w:rFonts w:ascii="Times New Roman" w:hAnsi="Times New Roman"/>
          <w:sz w:val="24"/>
          <w:szCs w:val="24"/>
        </w:rPr>
        <w:t xml:space="preserve">, </w:t>
      </w:r>
      <w:proofErr w:type="spellStart"/>
      <w:r>
        <w:rPr>
          <w:rFonts w:ascii="Times New Roman" w:hAnsi="Times New Roman"/>
          <w:sz w:val="24"/>
          <w:szCs w:val="24"/>
        </w:rPr>
        <w:t>Akhmed</w:t>
      </w:r>
      <w:proofErr w:type="spellEnd"/>
      <w:r>
        <w:rPr>
          <w:rFonts w:ascii="Times New Roman" w:hAnsi="Times New Roman"/>
          <w:sz w:val="24"/>
          <w:szCs w:val="24"/>
        </w:rPr>
        <w:t xml:space="preserve">, </w:t>
      </w:r>
      <w:proofErr w:type="spellStart"/>
      <w:r>
        <w:rPr>
          <w:rFonts w:ascii="Times New Roman" w:hAnsi="Times New Roman"/>
          <w:sz w:val="24"/>
          <w:szCs w:val="24"/>
        </w:rPr>
        <w:t>Alexei</w:t>
      </w:r>
      <w:proofErr w:type="spellEnd"/>
      <w:r>
        <w:rPr>
          <w:rFonts w:ascii="Times New Roman" w:hAnsi="Times New Roman"/>
          <w:sz w:val="24"/>
          <w:szCs w:val="24"/>
        </w:rPr>
        <w:t xml:space="preserve"> </w:t>
      </w:r>
      <w:proofErr w:type="spellStart"/>
      <w:r>
        <w:rPr>
          <w:rFonts w:ascii="Times New Roman" w:hAnsi="Times New Roman"/>
          <w:sz w:val="24"/>
          <w:szCs w:val="24"/>
        </w:rPr>
        <w:t>Ravichev</w:t>
      </w:r>
      <w:proofErr w:type="spellEnd"/>
      <w:r>
        <w:rPr>
          <w:rFonts w:ascii="Times New Roman" w:hAnsi="Times New Roman"/>
          <w:sz w:val="24"/>
          <w:szCs w:val="24"/>
        </w:rPr>
        <w:t xml:space="preserve"> y </w:t>
      </w:r>
      <w:proofErr w:type="spellStart"/>
      <w:r>
        <w:rPr>
          <w:rFonts w:ascii="Times New Roman" w:hAnsi="Times New Roman"/>
          <w:sz w:val="24"/>
          <w:szCs w:val="24"/>
        </w:rPr>
        <w:t>Ekaterina</w:t>
      </w:r>
      <w:proofErr w:type="spellEnd"/>
      <w:r>
        <w:rPr>
          <w:rFonts w:ascii="Times New Roman" w:hAnsi="Times New Roman"/>
          <w:sz w:val="24"/>
          <w:szCs w:val="24"/>
        </w:rPr>
        <w:t xml:space="preserve"> </w:t>
      </w:r>
      <w:proofErr w:type="spellStart"/>
      <w:r>
        <w:rPr>
          <w:rFonts w:ascii="Times New Roman" w:hAnsi="Times New Roman"/>
          <w:sz w:val="24"/>
          <w:szCs w:val="24"/>
        </w:rPr>
        <w:t>Zhuravskaya</w:t>
      </w:r>
      <w:proofErr w:type="spellEnd"/>
      <w:r>
        <w:rPr>
          <w:rFonts w:ascii="Times New Roman" w:hAnsi="Times New Roman"/>
          <w:sz w:val="24"/>
          <w:szCs w:val="24"/>
        </w:rPr>
        <w:t xml:space="preserve"> (2002). </w:t>
      </w:r>
      <w:proofErr w:type="gramStart"/>
      <w:r>
        <w:rPr>
          <w:rFonts w:ascii="Times New Roman" w:hAnsi="Times New Roman"/>
          <w:i/>
          <w:iCs/>
          <w:sz w:val="24"/>
          <w:szCs w:val="24"/>
          <w:lang w:val="en-US"/>
        </w:rPr>
        <w:t>Regional Political Cycles in Russia</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Center for Economic and Financial Research.</w:t>
      </w:r>
      <w:proofErr w:type="gramEnd"/>
    </w:p>
    <w:p w:rsidR="00551A9B" w:rsidRDefault="00551A9B" w:rsidP="00863D0E">
      <w:pPr>
        <w:spacing w:before="240" w:line="240" w:lineRule="auto"/>
        <w:ind w:firstLine="708"/>
        <w:rPr>
          <w:rFonts w:ascii="Times New Roman" w:hAnsi="Times New Roman"/>
          <w:sz w:val="24"/>
          <w:szCs w:val="24"/>
          <w:lang w:val="en-US"/>
        </w:rPr>
      </w:pPr>
      <w:proofErr w:type="spellStart"/>
      <w:r>
        <w:rPr>
          <w:rFonts w:ascii="Times New Roman" w:hAnsi="Times New Roman"/>
          <w:sz w:val="24"/>
          <w:szCs w:val="24"/>
          <w:lang w:val="en-US"/>
        </w:rPr>
        <w:t>Akhmedov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Akhmed</w:t>
      </w:r>
      <w:proofErr w:type="spellEnd"/>
      <w:r>
        <w:rPr>
          <w:rFonts w:ascii="Times New Roman" w:hAnsi="Times New Roman"/>
          <w:sz w:val="24"/>
          <w:szCs w:val="24"/>
          <w:lang w:val="en-US"/>
        </w:rPr>
        <w:t xml:space="preserve">, y Ekaterina </w:t>
      </w:r>
      <w:proofErr w:type="spellStart"/>
      <w:r>
        <w:rPr>
          <w:rFonts w:ascii="Times New Roman" w:hAnsi="Times New Roman"/>
          <w:sz w:val="24"/>
          <w:szCs w:val="24"/>
          <w:lang w:val="en-US"/>
        </w:rPr>
        <w:t>Zhuravskaya</w:t>
      </w:r>
      <w:proofErr w:type="spellEnd"/>
      <w:r>
        <w:rPr>
          <w:rFonts w:ascii="Times New Roman" w:hAnsi="Times New Roman"/>
          <w:sz w:val="24"/>
          <w:szCs w:val="24"/>
          <w:lang w:val="en-US"/>
        </w:rPr>
        <w:t xml:space="preserve"> (2003). </w:t>
      </w:r>
      <w:r>
        <w:rPr>
          <w:rFonts w:ascii="Times New Roman" w:hAnsi="Times New Roman"/>
          <w:i/>
          <w:iCs/>
          <w:sz w:val="24"/>
          <w:szCs w:val="24"/>
          <w:lang w:val="en-US"/>
        </w:rPr>
        <w:t>Opportunistic Political Cycles: Test in a Young Democracy Setting</w:t>
      </w:r>
      <w:r>
        <w:rPr>
          <w:rFonts w:ascii="Times New Roman" w:hAnsi="Times New Roman"/>
          <w:sz w:val="24"/>
          <w:szCs w:val="24"/>
          <w:lang w:val="en-US"/>
        </w:rPr>
        <w:t xml:space="preserve">. </w:t>
      </w:r>
      <w:proofErr w:type="gramStart"/>
      <w:r>
        <w:rPr>
          <w:rFonts w:ascii="Times New Roman" w:hAnsi="Times New Roman"/>
          <w:sz w:val="24"/>
          <w:szCs w:val="24"/>
          <w:lang w:val="en-US"/>
        </w:rPr>
        <w:t>Center for Economic and Financial Research.</w:t>
      </w:r>
      <w:proofErr w:type="gramEnd"/>
      <w:r>
        <w:rPr>
          <w:rFonts w:ascii="Times New Roman" w:hAnsi="Times New Roman"/>
          <w:sz w:val="24"/>
          <w:szCs w:val="24"/>
          <w:lang w:val="en-US"/>
        </w:rPr>
        <w:t xml:space="preserve"> </w:t>
      </w:r>
    </w:p>
    <w:p w:rsidR="00551A9B" w:rsidRDefault="00551A9B" w:rsidP="00863D0E">
      <w:pPr>
        <w:spacing w:before="240" w:after="0" w:line="240" w:lineRule="auto"/>
        <w:ind w:firstLine="708"/>
        <w:rPr>
          <w:rFonts w:ascii="Times New Roman" w:hAnsi="Times New Roman"/>
          <w:sz w:val="24"/>
          <w:szCs w:val="24"/>
          <w:lang w:val="en-US"/>
        </w:rPr>
      </w:pPr>
      <w:proofErr w:type="spellStart"/>
      <w:r w:rsidRPr="009E086B">
        <w:rPr>
          <w:rFonts w:ascii="Times New Roman" w:hAnsi="Times New Roman"/>
          <w:sz w:val="24"/>
          <w:szCs w:val="24"/>
          <w:lang w:val="en-US"/>
        </w:rPr>
        <w:t>Alesina</w:t>
      </w:r>
      <w:proofErr w:type="spellEnd"/>
      <w:r w:rsidRPr="009E086B">
        <w:rPr>
          <w:rFonts w:ascii="Times New Roman" w:hAnsi="Times New Roman"/>
          <w:sz w:val="24"/>
          <w:szCs w:val="24"/>
          <w:lang w:val="en-US"/>
        </w:rPr>
        <w:t xml:space="preserve">, Alberto, </w:t>
      </w:r>
      <w:proofErr w:type="spellStart"/>
      <w:r w:rsidRPr="009E086B">
        <w:rPr>
          <w:rFonts w:ascii="Times New Roman" w:hAnsi="Times New Roman"/>
          <w:sz w:val="24"/>
          <w:szCs w:val="24"/>
          <w:lang w:val="en-US"/>
        </w:rPr>
        <w:t>Nouriel</w:t>
      </w:r>
      <w:proofErr w:type="spellEnd"/>
      <w:r w:rsidRPr="009E086B">
        <w:rPr>
          <w:rFonts w:ascii="Times New Roman" w:hAnsi="Times New Roman"/>
          <w:sz w:val="24"/>
          <w:szCs w:val="24"/>
          <w:lang w:val="en-US"/>
        </w:rPr>
        <w:t xml:space="preserve"> </w:t>
      </w:r>
      <w:proofErr w:type="spellStart"/>
      <w:r w:rsidRPr="009E086B">
        <w:rPr>
          <w:rFonts w:ascii="Times New Roman" w:hAnsi="Times New Roman"/>
          <w:sz w:val="24"/>
          <w:szCs w:val="24"/>
          <w:lang w:val="en-US"/>
        </w:rPr>
        <w:t>Roubini</w:t>
      </w:r>
      <w:proofErr w:type="spellEnd"/>
      <w:r w:rsidRPr="009E086B">
        <w:rPr>
          <w:rFonts w:ascii="Times New Roman" w:hAnsi="Times New Roman"/>
          <w:sz w:val="24"/>
          <w:szCs w:val="24"/>
          <w:lang w:val="en-US"/>
        </w:rPr>
        <w:t xml:space="preserve"> y Gerald D. Cohen. </w:t>
      </w:r>
      <w:proofErr w:type="gramStart"/>
      <w:r w:rsidRPr="00271480">
        <w:rPr>
          <w:rFonts w:ascii="Times New Roman" w:hAnsi="Times New Roman"/>
          <w:sz w:val="24"/>
          <w:szCs w:val="24"/>
          <w:lang w:val="en-US"/>
        </w:rPr>
        <w:t xml:space="preserve">(1999). </w:t>
      </w:r>
      <w:r w:rsidRPr="00271480">
        <w:rPr>
          <w:rFonts w:ascii="Times New Roman" w:hAnsi="Times New Roman"/>
          <w:sz w:val="24"/>
          <w:szCs w:val="24"/>
          <w:u w:val="single"/>
          <w:lang w:val="en-US"/>
        </w:rPr>
        <w:t xml:space="preserve">Political Cycles and the </w:t>
      </w:r>
      <w:proofErr w:type="spellStart"/>
      <w:r w:rsidRPr="00271480">
        <w:rPr>
          <w:rFonts w:ascii="Times New Roman" w:hAnsi="Times New Roman"/>
          <w:sz w:val="24"/>
          <w:szCs w:val="24"/>
          <w:u w:val="single"/>
          <w:lang w:val="en-US"/>
        </w:rPr>
        <w:t>Macroeconomy</w:t>
      </w:r>
      <w:proofErr w:type="spellEnd"/>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Cambridge.The</w:t>
      </w:r>
      <w:proofErr w:type="spellEnd"/>
      <w:r w:rsidRPr="00271480">
        <w:rPr>
          <w:rFonts w:ascii="Times New Roman" w:hAnsi="Times New Roman"/>
          <w:sz w:val="24"/>
          <w:szCs w:val="24"/>
          <w:lang w:val="en-US"/>
        </w:rPr>
        <w:t xml:space="preserve"> MIT Press.</w:t>
      </w:r>
    </w:p>
    <w:p w:rsidR="00551A9B" w:rsidRPr="00E05C3D" w:rsidRDefault="00551A9B" w:rsidP="00863D0E">
      <w:pPr>
        <w:spacing w:before="240" w:after="0" w:line="240" w:lineRule="auto"/>
        <w:ind w:firstLine="708"/>
        <w:rPr>
          <w:rFonts w:ascii="Times New Roman" w:hAnsi="Times New Roman"/>
          <w:sz w:val="24"/>
          <w:szCs w:val="24"/>
        </w:rPr>
      </w:pPr>
      <w:r w:rsidRPr="00E05C3D">
        <w:rPr>
          <w:rFonts w:ascii="Times New Roman" w:hAnsi="Times New Roman"/>
          <w:sz w:val="24"/>
          <w:szCs w:val="24"/>
        </w:rPr>
        <w:t xml:space="preserve">Amarillas Urbina, </w:t>
      </w:r>
      <w:r>
        <w:rPr>
          <w:rFonts w:ascii="Times New Roman" w:hAnsi="Times New Roman"/>
          <w:sz w:val="24"/>
          <w:szCs w:val="24"/>
        </w:rPr>
        <w:t>Víctor</w:t>
      </w:r>
      <w:r w:rsidRPr="00E05C3D">
        <w:rPr>
          <w:rFonts w:ascii="Times New Roman" w:hAnsi="Times New Roman"/>
          <w:sz w:val="24"/>
          <w:szCs w:val="24"/>
        </w:rPr>
        <w:t xml:space="preserve"> </w:t>
      </w:r>
      <w:proofErr w:type="spellStart"/>
      <w:r w:rsidRPr="00E05C3D">
        <w:rPr>
          <w:rFonts w:ascii="Times New Roman" w:hAnsi="Times New Roman"/>
          <w:sz w:val="24"/>
          <w:szCs w:val="24"/>
        </w:rPr>
        <w:t>Acxel</w:t>
      </w:r>
      <w:proofErr w:type="spellEnd"/>
      <w:r w:rsidR="002106DB">
        <w:rPr>
          <w:rFonts w:ascii="Times New Roman" w:hAnsi="Times New Roman"/>
          <w:sz w:val="24"/>
          <w:szCs w:val="24"/>
        </w:rPr>
        <w:t xml:space="preserve"> y Cesáreo Gámez </w:t>
      </w:r>
      <w:r w:rsidRPr="00E05C3D">
        <w:rPr>
          <w:rFonts w:ascii="Times New Roman" w:hAnsi="Times New Roman"/>
          <w:sz w:val="24"/>
          <w:szCs w:val="24"/>
        </w:rPr>
        <w:t>(201</w:t>
      </w:r>
      <w:r w:rsidR="002106DB">
        <w:rPr>
          <w:rFonts w:ascii="Times New Roman" w:hAnsi="Times New Roman"/>
          <w:sz w:val="24"/>
          <w:szCs w:val="24"/>
        </w:rPr>
        <w:t>4</w:t>
      </w:r>
      <w:r w:rsidRPr="00E05C3D">
        <w:rPr>
          <w:rFonts w:ascii="Times New Roman" w:hAnsi="Times New Roman"/>
          <w:sz w:val="24"/>
          <w:szCs w:val="24"/>
        </w:rPr>
        <w:t xml:space="preserve">). </w:t>
      </w:r>
      <w:r w:rsidRPr="002106DB">
        <w:rPr>
          <w:rFonts w:ascii="Times New Roman" w:hAnsi="Times New Roman"/>
          <w:i/>
          <w:sz w:val="24"/>
          <w:szCs w:val="24"/>
        </w:rPr>
        <w:t>El Ciclo Político Presupuest</w:t>
      </w:r>
      <w:r w:rsidR="002106DB" w:rsidRPr="002106DB">
        <w:rPr>
          <w:rFonts w:ascii="Times New Roman" w:hAnsi="Times New Roman"/>
          <w:i/>
          <w:sz w:val="24"/>
          <w:szCs w:val="24"/>
        </w:rPr>
        <w:t>al y la Alternancia en el Poder.</w:t>
      </w:r>
      <w:r w:rsidR="002106DB" w:rsidRPr="002106DB">
        <w:rPr>
          <w:rFonts w:ascii="Times New Roman" w:hAnsi="Times New Roman"/>
          <w:sz w:val="24"/>
          <w:szCs w:val="24"/>
        </w:rPr>
        <w:t xml:space="preserve"> </w:t>
      </w:r>
      <w:proofErr w:type="spellStart"/>
      <w:r w:rsidR="002106DB" w:rsidRPr="002106DB">
        <w:rPr>
          <w:rFonts w:ascii="Times New Roman" w:hAnsi="Times New Roman"/>
          <w:sz w:val="24"/>
          <w:szCs w:val="24"/>
        </w:rPr>
        <w:t>Explanans</w:t>
      </w:r>
      <w:proofErr w:type="spellEnd"/>
      <w:r w:rsidR="002106DB" w:rsidRPr="002106DB">
        <w:rPr>
          <w:rFonts w:ascii="Times New Roman" w:hAnsi="Times New Roman"/>
          <w:sz w:val="24"/>
          <w:szCs w:val="24"/>
        </w:rPr>
        <w:t xml:space="preserve">, </w:t>
      </w:r>
      <w:proofErr w:type="spellStart"/>
      <w:r w:rsidR="002106DB" w:rsidRPr="002106DB">
        <w:rPr>
          <w:rFonts w:ascii="Times New Roman" w:hAnsi="Times New Roman"/>
          <w:sz w:val="24"/>
          <w:szCs w:val="24"/>
        </w:rPr>
        <w:t>Vol</w:t>
      </w:r>
      <w:proofErr w:type="spellEnd"/>
      <w:r w:rsidR="002106DB" w:rsidRPr="002106DB">
        <w:rPr>
          <w:rFonts w:ascii="Times New Roman" w:hAnsi="Times New Roman"/>
          <w:sz w:val="24"/>
          <w:szCs w:val="24"/>
        </w:rPr>
        <w:t xml:space="preserve"> 3, </w:t>
      </w:r>
      <w:proofErr w:type="spellStart"/>
      <w:r w:rsidR="002106DB" w:rsidRPr="002106DB">
        <w:rPr>
          <w:rFonts w:ascii="Times New Roman" w:hAnsi="Times New Roman"/>
          <w:sz w:val="24"/>
          <w:szCs w:val="24"/>
        </w:rPr>
        <w:t>Num</w:t>
      </w:r>
      <w:proofErr w:type="spellEnd"/>
      <w:r w:rsidR="002106DB" w:rsidRPr="002106DB">
        <w:rPr>
          <w:rFonts w:ascii="Times New Roman" w:hAnsi="Times New Roman"/>
          <w:sz w:val="24"/>
          <w:szCs w:val="24"/>
        </w:rPr>
        <w:t xml:space="preserve"> 1</w:t>
      </w:r>
      <w:proofErr w:type="gramStart"/>
      <w:r w:rsidR="002106DB" w:rsidRPr="002106DB">
        <w:rPr>
          <w:rFonts w:ascii="Times New Roman" w:hAnsi="Times New Roman"/>
          <w:sz w:val="24"/>
          <w:szCs w:val="24"/>
        </w:rPr>
        <w:t>.</w:t>
      </w:r>
      <w:r w:rsidRPr="002106DB">
        <w:rPr>
          <w:rFonts w:ascii="Times New Roman" w:hAnsi="Times New Roman"/>
          <w:sz w:val="24"/>
          <w:szCs w:val="24"/>
        </w:rPr>
        <w:t>.</w:t>
      </w:r>
      <w:proofErr w:type="gramEnd"/>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r w:rsidRPr="00E05C3D">
        <w:rPr>
          <w:rFonts w:ascii="Times New Roman" w:hAnsi="Times New Roman"/>
          <w:sz w:val="24"/>
          <w:szCs w:val="24"/>
        </w:rPr>
        <w:t>Brender</w:t>
      </w:r>
      <w:proofErr w:type="spellEnd"/>
      <w:r w:rsidRPr="00E05C3D">
        <w:rPr>
          <w:rFonts w:ascii="Times New Roman" w:hAnsi="Times New Roman"/>
          <w:sz w:val="24"/>
          <w:szCs w:val="24"/>
        </w:rPr>
        <w:t>, Ad</w:t>
      </w:r>
      <w:proofErr w:type="spellStart"/>
      <w:r w:rsidRPr="00271480">
        <w:rPr>
          <w:rFonts w:ascii="Times New Roman" w:hAnsi="Times New Roman"/>
          <w:sz w:val="24"/>
          <w:szCs w:val="24"/>
          <w:lang w:val="en-US"/>
        </w:rPr>
        <w:t>i</w:t>
      </w:r>
      <w:proofErr w:type="spellEnd"/>
      <w:r w:rsidRPr="00271480">
        <w:rPr>
          <w:rFonts w:ascii="Times New Roman" w:hAnsi="Times New Roman"/>
          <w:sz w:val="24"/>
          <w:szCs w:val="24"/>
          <w:lang w:val="en-US"/>
        </w:rPr>
        <w:t xml:space="preserve"> y Allan </w:t>
      </w:r>
      <w:proofErr w:type="spellStart"/>
      <w:r w:rsidRPr="00271480">
        <w:rPr>
          <w:rFonts w:ascii="Times New Roman" w:hAnsi="Times New Roman"/>
          <w:sz w:val="24"/>
          <w:szCs w:val="24"/>
          <w:lang w:val="en-US"/>
        </w:rPr>
        <w:t>Drazen</w:t>
      </w:r>
      <w:proofErr w:type="spellEnd"/>
      <w:r w:rsidRPr="00271480">
        <w:rPr>
          <w:rFonts w:ascii="Times New Roman" w:hAnsi="Times New Roman"/>
          <w:sz w:val="24"/>
          <w:szCs w:val="24"/>
          <w:lang w:val="en-US"/>
        </w:rPr>
        <w:t xml:space="preserve"> (2003). </w:t>
      </w:r>
      <w:r w:rsidRPr="00271480">
        <w:rPr>
          <w:rFonts w:ascii="Times New Roman" w:hAnsi="Times New Roman"/>
          <w:i/>
          <w:iCs/>
          <w:sz w:val="24"/>
          <w:szCs w:val="24"/>
          <w:lang w:val="en-US"/>
        </w:rPr>
        <w:t>Where does the Political Budget Cycles Really Come From?</w:t>
      </w:r>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NBER.</w:t>
      </w:r>
      <w:proofErr w:type="gramEnd"/>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proofErr w:type="gramStart"/>
      <w:r w:rsidRPr="00271480">
        <w:rPr>
          <w:rFonts w:ascii="Times New Roman" w:hAnsi="Times New Roman"/>
          <w:sz w:val="24"/>
          <w:szCs w:val="24"/>
          <w:lang w:val="en-US"/>
        </w:rPr>
        <w:t>Brender</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Adi</w:t>
      </w:r>
      <w:proofErr w:type="spellEnd"/>
      <w:r w:rsidRPr="00271480">
        <w:rPr>
          <w:rFonts w:ascii="Times New Roman" w:hAnsi="Times New Roman"/>
          <w:sz w:val="24"/>
          <w:szCs w:val="24"/>
          <w:lang w:val="en-US"/>
        </w:rPr>
        <w:t xml:space="preserve"> y Allan </w:t>
      </w:r>
      <w:proofErr w:type="spellStart"/>
      <w:r w:rsidRPr="00271480">
        <w:rPr>
          <w:rFonts w:ascii="Times New Roman" w:hAnsi="Times New Roman"/>
          <w:sz w:val="24"/>
          <w:szCs w:val="24"/>
          <w:lang w:val="en-US"/>
        </w:rPr>
        <w:t>Drazen</w:t>
      </w:r>
      <w:proofErr w:type="spellEnd"/>
      <w:r w:rsidRPr="00271480">
        <w:rPr>
          <w:rFonts w:ascii="Times New Roman" w:hAnsi="Times New Roman"/>
          <w:sz w:val="24"/>
          <w:szCs w:val="24"/>
          <w:lang w:val="en-US"/>
        </w:rPr>
        <w:t xml:space="preserve"> (2005).</w:t>
      </w:r>
      <w:proofErr w:type="gramEnd"/>
      <w:r w:rsidRPr="00271480">
        <w:rPr>
          <w:rFonts w:ascii="Times New Roman" w:hAnsi="Times New Roman"/>
          <w:sz w:val="24"/>
          <w:szCs w:val="24"/>
          <w:lang w:val="en-US"/>
        </w:rPr>
        <w:t xml:space="preserve"> </w:t>
      </w:r>
      <w:r w:rsidRPr="00271480">
        <w:rPr>
          <w:rFonts w:ascii="Times New Roman" w:hAnsi="Times New Roman"/>
          <w:i/>
          <w:iCs/>
          <w:sz w:val="24"/>
          <w:szCs w:val="24"/>
          <w:lang w:val="en-US"/>
        </w:rPr>
        <w:t>Political Budget Cycles in new versus established democracies</w:t>
      </w:r>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Journal of Monetary Economics.</w:t>
      </w:r>
      <w:proofErr w:type="gramEnd"/>
      <w:r w:rsidRPr="00271480">
        <w:rPr>
          <w:rFonts w:ascii="Times New Roman" w:hAnsi="Times New Roman"/>
          <w:sz w:val="24"/>
          <w:szCs w:val="24"/>
          <w:lang w:val="en-US"/>
        </w:rPr>
        <w:t xml:space="preserve"> 52, pp 1271-1295.</w:t>
      </w:r>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r w:rsidRPr="00271480">
        <w:rPr>
          <w:rFonts w:ascii="Times New Roman" w:hAnsi="Times New Roman"/>
          <w:sz w:val="24"/>
          <w:szCs w:val="24"/>
          <w:lang w:val="en-US"/>
        </w:rPr>
        <w:t>Drazen</w:t>
      </w:r>
      <w:proofErr w:type="spellEnd"/>
      <w:r w:rsidRPr="00271480">
        <w:rPr>
          <w:rFonts w:ascii="Times New Roman" w:hAnsi="Times New Roman"/>
          <w:sz w:val="24"/>
          <w:szCs w:val="24"/>
          <w:lang w:val="en-US"/>
        </w:rPr>
        <w:t xml:space="preserve">, Allan (2000). </w:t>
      </w:r>
      <w:r w:rsidRPr="00271480">
        <w:rPr>
          <w:rFonts w:ascii="Times New Roman" w:hAnsi="Times New Roman"/>
          <w:i/>
          <w:iCs/>
          <w:sz w:val="24"/>
          <w:szCs w:val="24"/>
          <w:lang w:val="en-US"/>
        </w:rPr>
        <w:t xml:space="preserve">The Political Business Cycle </w:t>
      </w:r>
      <w:proofErr w:type="gramStart"/>
      <w:r w:rsidRPr="00271480">
        <w:rPr>
          <w:rFonts w:ascii="Times New Roman" w:hAnsi="Times New Roman"/>
          <w:i/>
          <w:iCs/>
          <w:sz w:val="24"/>
          <w:szCs w:val="24"/>
          <w:lang w:val="en-US"/>
        </w:rPr>
        <w:t>After</w:t>
      </w:r>
      <w:proofErr w:type="gramEnd"/>
      <w:r w:rsidRPr="00271480">
        <w:rPr>
          <w:rFonts w:ascii="Times New Roman" w:hAnsi="Times New Roman"/>
          <w:i/>
          <w:iCs/>
          <w:sz w:val="24"/>
          <w:szCs w:val="24"/>
          <w:lang w:val="en-US"/>
        </w:rPr>
        <w:t xml:space="preserve"> 25 Years</w:t>
      </w:r>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University of Maryland.</w:t>
      </w:r>
      <w:proofErr w:type="gramEnd"/>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proofErr w:type="gramStart"/>
      <w:r w:rsidRPr="00271480">
        <w:rPr>
          <w:rFonts w:ascii="Times New Roman" w:hAnsi="Times New Roman"/>
          <w:sz w:val="24"/>
          <w:szCs w:val="24"/>
          <w:lang w:val="en-US"/>
        </w:rPr>
        <w:t>Drazen</w:t>
      </w:r>
      <w:proofErr w:type="spellEnd"/>
      <w:r w:rsidRPr="00271480">
        <w:rPr>
          <w:rFonts w:ascii="Times New Roman" w:hAnsi="Times New Roman"/>
          <w:sz w:val="24"/>
          <w:szCs w:val="24"/>
          <w:lang w:val="en-US"/>
        </w:rPr>
        <w:t xml:space="preserve">, Allan y Marcela </w:t>
      </w:r>
      <w:proofErr w:type="spellStart"/>
      <w:r w:rsidRPr="00271480">
        <w:rPr>
          <w:rFonts w:ascii="Times New Roman" w:hAnsi="Times New Roman"/>
          <w:sz w:val="24"/>
          <w:szCs w:val="24"/>
          <w:lang w:val="en-US"/>
        </w:rPr>
        <w:t>Eslava</w:t>
      </w:r>
      <w:proofErr w:type="spellEnd"/>
      <w:r w:rsidRPr="00271480">
        <w:rPr>
          <w:rFonts w:ascii="Times New Roman" w:hAnsi="Times New Roman"/>
          <w:sz w:val="24"/>
          <w:szCs w:val="24"/>
          <w:lang w:val="en-US"/>
        </w:rPr>
        <w:t xml:space="preserve"> (2003).</w:t>
      </w:r>
      <w:proofErr w:type="gramEnd"/>
      <w:r w:rsidRPr="00271480">
        <w:rPr>
          <w:rFonts w:ascii="Times New Roman" w:hAnsi="Times New Roman"/>
          <w:sz w:val="24"/>
          <w:szCs w:val="24"/>
          <w:lang w:val="en-US"/>
        </w:rPr>
        <w:t xml:space="preserve"> </w:t>
      </w:r>
      <w:proofErr w:type="gramStart"/>
      <w:r w:rsidRPr="00271480">
        <w:rPr>
          <w:rFonts w:ascii="Times New Roman" w:hAnsi="Times New Roman"/>
          <w:i/>
          <w:iCs/>
          <w:sz w:val="24"/>
          <w:szCs w:val="24"/>
          <w:lang w:val="en-US"/>
        </w:rPr>
        <w:t>The Political Business Cycle in Colombia on the National and Regional Level</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Archivos</w:t>
      </w:r>
      <w:proofErr w:type="spellEnd"/>
      <w:r w:rsidRPr="00271480">
        <w:rPr>
          <w:rFonts w:ascii="Times New Roman" w:hAnsi="Times New Roman"/>
          <w:sz w:val="24"/>
          <w:szCs w:val="24"/>
          <w:lang w:val="en-US"/>
        </w:rPr>
        <w:t xml:space="preserve"> de </w:t>
      </w:r>
      <w:proofErr w:type="spellStart"/>
      <w:r w:rsidRPr="00271480">
        <w:rPr>
          <w:rFonts w:ascii="Times New Roman" w:hAnsi="Times New Roman"/>
          <w:sz w:val="24"/>
          <w:szCs w:val="24"/>
          <w:lang w:val="en-US"/>
        </w:rPr>
        <w:t>Economía</w:t>
      </w:r>
      <w:proofErr w:type="spellEnd"/>
      <w:r w:rsidRPr="00271480">
        <w:rPr>
          <w:rFonts w:ascii="Times New Roman" w:hAnsi="Times New Roman"/>
          <w:sz w:val="24"/>
          <w:szCs w:val="24"/>
          <w:lang w:val="en-US"/>
        </w:rPr>
        <w:t xml:space="preserve">. </w:t>
      </w:r>
      <w:proofErr w:type="spellStart"/>
      <w:proofErr w:type="gramStart"/>
      <w:r w:rsidRPr="00271480">
        <w:rPr>
          <w:rFonts w:ascii="Times New Roman" w:hAnsi="Times New Roman"/>
          <w:sz w:val="24"/>
          <w:szCs w:val="24"/>
          <w:lang w:val="en-US"/>
        </w:rPr>
        <w:t>Documento</w:t>
      </w:r>
      <w:proofErr w:type="spellEnd"/>
      <w:r w:rsidRPr="00271480">
        <w:rPr>
          <w:rFonts w:ascii="Times New Roman" w:hAnsi="Times New Roman"/>
          <w:sz w:val="24"/>
          <w:szCs w:val="24"/>
          <w:lang w:val="en-US"/>
        </w:rPr>
        <w:t xml:space="preserve"> 215.</w:t>
      </w:r>
      <w:proofErr w:type="gramEnd"/>
    </w:p>
    <w:p w:rsidR="00551A9B" w:rsidRPr="00271480" w:rsidRDefault="00551A9B" w:rsidP="00863D0E">
      <w:pPr>
        <w:spacing w:before="240" w:after="0" w:line="240" w:lineRule="auto"/>
        <w:ind w:firstLine="708"/>
        <w:rPr>
          <w:rFonts w:ascii="Times New Roman" w:hAnsi="Times New Roman"/>
          <w:sz w:val="24"/>
          <w:szCs w:val="24"/>
          <w:lang w:val="en-US"/>
        </w:rPr>
      </w:pPr>
      <w:proofErr w:type="gramStart"/>
      <w:r w:rsidRPr="00271480">
        <w:rPr>
          <w:rFonts w:ascii="Times New Roman" w:hAnsi="Times New Roman"/>
          <w:sz w:val="24"/>
          <w:szCs w:val="24"/>
          <w:lang w:val="en-US"/>
        </w:rPr>
        <w:t>Ergun, Mine (2001).</w:t>
      </w:r>
      <w:proofErr w:type="gramEnd"/>
      <w:r w:rsidRPr="00271480">
        <w:rPr>
          <w:rFonts w:ascii="Times New Roman" w:hAnsi="Times New Roman"/>
          <w:sz w:val="24"/>
          <w:szCs w:val="24"/>
          <w:lang w:val="en-US"/>
        </w:rPr>
        <w:t xml:space="preserve"> </w:t>
      </w:r>
      <w:r w:rsidRPr="00271480">
        <w:rPr>
          <w:rFonts w:ascii="Times New Roman" w:hAnsi="Times New Roman"/>
          <w:i/>
          <w:sz w:val="24"/>
          <w:szCs w:val="24"/>
          <w:lang w:val="en-US"/>
        </w:rPr>
        <w:t>Electoral Political-Business Cycles in emerging Markets: Evidence from Turkey</w:t>
      </w:r>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Russian and East European Finance and Trade.</w:t>
      </w:r>
      <w:proofErr w:type="gramEnd"/>
      <w:r w:rsidRPr="00271480">
        <w:rPr>
          <w:rFonts w:ascii="Times New Roman" w:hAnsi="Times New Roman"/>
          <w:sz w:val="24"/>
          <w:szCs w:val="24"/>
          <w:lang w:val="en-US"/>
        </w:rPr>
        <w:t xml:space="preserve"> Vol 36, </w:t>
      </w:r>
      <w:proofErr w:type="spellStart"/>
      <w:r w:rsidRPr="00271480">
        <w:rPr>
          <w:rFonts w:ascii="Times New Roman" w:hAnsi="Times New Roman"/>
          <w:sz w:val="24"/>
          <w:szCs w:val="24"/>
          <w:lang w:val="en-US"/>
        </w:rPr>
        <w:t>num</w:t>
      </w:r>
      <w:proofErr w:type="spellEnd"/>
      <w:r w:rsidRPr="00271480">
        <w:rPr>
          <w:rFonts w:ascii="Times New Roman" w:hAnsi="Times New Roman"/>
          <w:sz w:val="24"/>
          <w:szCs w:val="24"/>
          <w:lang w:val="en-US"/>
        </w:rPr>
        <w:t xml:space="preserve"> 6.</w:t>
      </w:r>
    </w:p>
    <w:p w:rsidR="00551A9B" w:rsidRPr="00271480" w:rsidRDefault="00551A9B" w:rsidP="00863D0E">
      <w:pPr>
        <w:spacing w:before="240" w:after="0" w:line="240" w:lineRule="auto"/>
        <w:ind w:firstLine="708"/>
        <w:rPr>
          <w:rFonts w:ascii="Times New Roman" w:hAnsi="Times New Roman"/>
          <w:sz w:val="24"/>
          <w:szCs w:val="24"/>
        </w:rPr>
      </w:pPr>
      <w:r w:rsidRPr="00271480">
        <w:rPr>
          <w:rFonts w:ascii="Times New Roman" w:hAnsi="Times New Roman"/>
          <w:sz w:val="24"/>
          <w:szCs w:val="24"/>
          <w:lang w:val="en-US"/>
        </w:rPr>
        <w:t xml:space="preserve">Flores </w:t>
      </w:r>
      <w:proofErr w:type="spellStart"/>
      <w:r w:rsidRPr="00271480">
        <w:rPr>
          <w:rFonts w:ascii="Times New Roman" w:hAnsi="Times New Roman"/>
          <w:sz w:val="24"/>
          <w:szCs w:val="24"/>
          <w:lang w:val="en-US"/>
        </w:rPr>
        <w:t>Curiel</w:t>
      </w:r>
      <w:proofErr w:type="spellEnd"/>
      <w:r w:rsidRPr="00271480">
        <w:rPr>
          <w:rFonts w:ascii="Times New Roman" w:hAnsi="Times New Roman"/>
          <w:sz w:val="24"/>
          <w:szCs w:val="24"/>
          <w:lang w:val="en-US"/>
        </w:rPr>
        <w:t xml:space="preserve">, Daniel (2007). </w:t>
      </w:r>
      <w:r w:rsidRPr="00271480">
        <w:rPr>
          <w:rFonts w:ascii="Times New Roman" w:hAnsi="Times New Roman"/>
          <w:i/>
          <w:sz w:val="24"/>
          <w:szCs w:val="24"/>
        </w:rPr>
        <w:t>Elecciones y Ciclos Económicos en México</w:t>
      </w:r>
      <w:r w:rsidRPr="00271480">
        <w:rPr>
          <w:rFonts w:ascii="Times New Roman" w:hAnsi="Times New Roman"/>
          <w:sz w:val="24"/>
          <w:szCs w:val="24"/>
        </w:rPr>
        <w:t xml:space="preserve">. El Trimestre Económico. Vol. LXXIV, </w:t>
      </w:r>
      <w:proofErr w:type="spellStart"/>
      <w:r w:rsidRPr="00271480">
        <w:rPr>
          <w:rFonts w:ascii="Times New Roman" w:hAnsi="Times New Roman"/>
          <w:sz w:val="24"/>
          <w:szCs w:val="24"/>
        </w:rPr>
        <w:t>Num</w:t>
      </w:r>
      <w:proofErr w:type="spellEnd"/>
      <w:r w:rsidRPr="00271480">
        <w:rPr>
          <w:rFonts w:ascii="Times New Roman" w:hAnsi="Times New Roman"/>
          <w:sz w:val="24"/>
          <w:szCs w:val="24"/>
        </w:rPr>
        <w:t>. 294.</w:t>
      </w:r>
    </w:p>
    <w:p w:rsidR="00551A9B" w:rsidRDefault="00551A9B" w:rsidP="00863D0E">
      <w:pPr>
        <w:spacing w:before="240" w:after="0" w:line="240" w:lineRule="auto"/>
        <w:ind w:firstLine="708"/>
        <w:rPr>
          <w:rFonts w:ascii="Times New Roman" w:hAnsi="Times New Roman"/>
          <w:sz w:val="24"/>
          <w:szCs w:val="24"/>
        </w:rPr>
      </w:pPr>
      <w:r>
        <w:rPr>
          <w:rFonts w:ascii="Times New Roman" w:hAnsi="Times New Roman"/>
          <w:sz w:val="24"/>
          <w:szCs w:val="24"/>
        </w:rPr>
        <w:t xml:space="preserve">Gámez, Cesáreo (2012). </w:t>
      </w:r>
      <w:r w:rsidRPr="00AC5122">
        <w:rPr>
          <w:rFonts w:ascii="Times New Roman" w:hAnsi="Times New Roman"/>
          <w:sz w:val="24"/>
          <w:szCs w:val="24"/>
          <w:u w:val="single"/>
        </w:rPr>
        <w:t>Política y Economía: El ciclo sexenal en México</w:t>
      </w:r>
      <w:r>
        <w:rPr>
          <w:rFonts w:ascii="Times New Roman" w:hAnsi="Times New Roman"/>
          <w:sz w:val="24"/>
          <w:szCs w:val="24"/>
        </w:rPr>
        <w:t>. Plaza &amp; Valdés.</w:t>
      </w:r>
    </w:p>
    <w:p w:rsidR="002106DB" w:rsidRDefault="002106DB" w:rsidP="00863D0E">
      <w:pPr>
        <w:spacing w:before="240" w:after="0" w:line="240" w:lineRule="auto"/>
        <w:ind w:firstLine="708"/>
        <w:rPr>
          <w:rFonts w:ascii="Times New Roman" w:hAnsi="Times New Roman"/>
          <w:sz w:val="24"/>
          <w:szCs w:val="24"/>
        </w:rPr>
      </w:pPr>
      <w:r>
        <w:rPr>
          <w:rFonts w:ascii="Times New Roman" w:hAnsi="Times New Roman"/>
          <w:sz w:val="24"/>
          <w:szCs w:val="24"/>
        </w:rPr>
        <w:t xml:space="preserve">Gámez, Cesáreo (2012ª). </w:t>
      </w:r>
      <w:r w:rsidRPr="002106DB">
        <w:rPr>
          <w:rFonts w:ascii="Times New Roman" w:hAnsi="Times New Roman"/>
          <w:i/>
          <w:sz w:val="24"/>
          <w:szCs w:val="24"/>
        </w:rPr>
        <w:t>Ciclo político, demanda agregada y formación de capital</w:t>
      </w:r>
      <w:r>
        <w:rPr>
          <w:rFonts w:ascii="Times New Roman" w:hAnsi="Times New Roman"/>
          <w:sz w:val="24"/>
          <w:szCs w:val="24"/>
        </w:rPr>
        <w:t xml:space="preserve">. Cofactor, </w:t>
      </w:r>
      <w:proofErr w:type="spellStart"/>
      <w:r>
        <w:rPr>
          <w:rFonts w:ascii="Times New Roman" w:hAnsi="Times New Roman"/>
          <w:sz w:val="24"/>
          <w:szCs w:val="24"/>
        </w:rPr>
        <w:t>Vol</w:t>
      </w:r>
      <w:proofErr w:type="spellEnd"/>
      <w:r>
        <w:rPr>
          <w:rFonts w:ascii="Times New Roman" w:hAnsi="Times New Roman"/>
          <w:sz w:val="24"/>
          <w:szCs w:val="24"/>
        </w:rPr>
        <w:t xml:space="preserve"> III, </w:t>
      </w:r>
      <w:proofErr w:type="spellStart"/>
      <w:r>
        <w:rPr>
          <w:rFonts w:ascii="Times New Roman" w:hAnsi="Times New Roman"/>
          <w:sz w:val="24"/>
          <w:szCs w:val="24"/>
        </w:rPr>
        <w:t>Num</w:t>
      </w:r>
      <w:proofErr w:type="spellEnd"/>
      <w:r>
        <w:rPr>
          <w:rFonts w:ascii="Times New Roman" w:hAnsi="Times New Roman"/>
          <w:sz w:val="24"/>
          <w:szCs w:val="24"/>
        </w:rPr>
        <w:t xml:space="preserve"> 6.</w:t>
      </w:r>
    </w:p>
    <w:p w:rsidR="00551A9B" w:rsidRDefault="00551A9B" w:rsidP="00863D0E">
      <w:pPr>
        <w:spacing w:before="240" w:after="0" w:line="240" w:lineRule="auto"/>
        <w:ind w:firstLine="708"/>
        <w:rPr>
          <w:rFonts w:ascii="Times New Roman" w:hAnsi="Times New Roman"/>
          <w:sz w:val="24"/>
          <w:szCs w:val="24"/>
        </w:rPr>
      </w:pPr>
      <w:r w:rsidRPr="00271480">
        <w:rPr>
          <w:rFonts w:ascii="Times New Roman" w:hAnsi="Times New Roman"/>
          <w:sz w:val="24"/>
          <w:szCs w:val="24"/>
        </w:rPr>
        <w:t xml:space="preserve">Gámez, Cesáreo y Víctor </w:t>
      </w:r>
      <w:proofErr w:type="spellStart"/>
      <w:r w:rsidRPr="00271480">
        <w:rPr>
          <w:rFonts w:ascii="Times New Roman" w:hAnsi="Times New Roman"/>
          <w:sz w:val="24"/>
          <w:szCs w:val="24"/>
        </w:rPr>
        <w:t>Axcel</w:t>
      </w:r>
      <w:proofErr w:type="spellEnd"/>
      <w:r w:rsidRPr="00271480">
        <w:rPr>
          <w:rFonts w:ascii="Times New Roman" w:hAnsi="Times New Roman"/>
          <w:sz w:val="24"/>
          <w:szCs w:val="24"/>
        </w:rPr>
        <w:t xml:space="preserve"> Amarillas Urbina (2011). </w:t>
      </w:r>
      <w:r w:rsidRPr="00271480">
        <w:rPr>
          <w:rFonts w:ascii="Times New Roman" w:hAnsi="Times New Roman"/>
          <w:i/>
          <w:sz w:val="24"/>
          <w:szCs w:val="24"/>
        </w:rPr>
        <w:t>Política económica o economía política: El ciclo político presupuestal en Méxic</w:t>
      </w:r>
      <w:r w:rsidRPr="00271480">
        <w:rPr>
          <w:rFonts w:ascii="Times New Roman" w:hAnsi="Times New Roman"/>
          <w:sz w:val="24"/>
          <w:szCs w:val="24"/>
        </w:rPr>
        <w:t xml:space="preserve">o. Cofactor. </w:t>
      </w:r>
      <w:proofErr w:type="spellStart"/>
      <w:r w:rsidRPr="00271480">
        <w:rPr>
          <w:rFonts w:ascii="Times New Roman" w:hAnsi="Times New Roman"/>
          <w:sz w:val="24"/>
          <w:szCs w:val="24"/>
        </w:rPr>
        <w:t>Vol</w:t>
      </w:r>
      <w:proofErr w:type="spellEnd"/>
      <w:r w:rsidRPr="00271480">
        <w:rPr>
          <w:rFonts w:ascii="Times New Roman" w:hAnsi="Times New Roman"/>
          <w:sz w:val="24"/>
          <w:szCs w:val="24"/>
        </w:rPr>
        <w:t xml:space="preserve"> II, </w:t>
      </w:r>
      <w:proofErr w:type="spellStart"/>
      <w:r w:rsidRPr="00271480">
        <w:rPr>
          <w:rFonts w:ascii="Times New Roman" w:hAnsi="Times New Roman"/>
          <w:sz w:val="24"/>
          <w:szCs w:val="24"/>
        </w:rPr>
        <w:t>Núm</w:t>
      </w:r>
      <w:proofErr w:type="spellEnd"/>
      <w:r w:rsidRPr="00271480">
        <w:rPr>
          <w:rFonts w:ascii="Times New Roman" w:hAnsi="Times New Roman"/>
          <w:sz w:val="24"/>
          <w:szCs w:val="24"/>
        </w:rPr>
        <w:t xml:space="preserve"> 3.</w:t>
      </w:r>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r w:rsidRPr="00271480">
        <w:rPr>
          <w:rFonts w:ascii="Times New Roman" w:hAnsi="Times New Roman"/>
          <w:sz w:val="24"/>
          <w:szCs w:val="24"/>
          <w:lang w:val="pt-BR"/>
        </w:rPr>
        <w:t>Goncalvez</w:t>
      </w:r>
      <w:proofErr w:type="spellEnd"/>
      <w:r w:rsidRPr="00271480">
        <w:rPr>
          <w:rFonts w:ascii="Times New Roman" w:hAnsi="Times New Roman"/>
          <w:sz w:val="24"/>
          <w:szCs w:val="24"/>
          <w:lang w:val="pt-BR"/>
        </w:rPr>
        <w:t xml:space="preserve"> Veiga, Linda, y Francisco José Veiga (2004). </w:t>
      </w:r>
      <w:proofErr w:type="gramStart"/>
      <w:r w:rsidRPr="00271480">
        <w:rPr>
          <w:rFonts w:ascii="Times New Roman" w:hAnsi="Times New Roman"/>
          <w:i/>
          <w:iCs/>
          <w:sz w:val="24"/>
          <w:szCs w:val="24"/>
          <w:lang w:val="en-US"/>
        </w:rPr>
        <w:t>Political Business Cycles at the Municipal Level</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Universidade</w:t>
      </w:r>
      <w:proofErr w:type="spellEnd"/>
      <w:r w:rsidRPr="00271480">
        <w:rPr>
          <w:rFonts w:ascii="Times New Roman" w:hAnsi="Times New Roman"/>
          <w:sz w:val="24"/>
          <w:szCs w:val="24"/>
          <w:lang w:val="en-US"/>
        </w:rPr>
        <w:t xml:space="preserve"> do Minho.</w:t>
      </w:r>
    </w:p>
    <w:p w:rsidR="00551A9B" w:rsidRPr="00271480" w:rsidRDefault="00551A9B" w:rsidP="00863D0E">
      <w:pPr>
        <w:spacing w:before="240" w:after="0" w:line="240" w:lineRule="auto"/>
        <w:ind w:firstLine="708"/>
        <w:rPr>
          <w:rFonts w:ascii="Times New Roman" w:hAnsi="Times New Roman"/>
          <w:sz w:val="24"/>
          <w:szCs w:val="24"/>
          <w:lang w:val="en-US"/>
        </w:rPr>
      </w:pPr>
      <w:r w:rsidRPr="00271480">
        <w:rPr>
          <w:rFonts w:ascii="Times New Roman" w:hAnsi="Times New Roman"/>
          <w:sz w:val="24"/>
          <w:szCs w:val="24"/>
          <w:lang w:val="en-US"/>
        </w:rPr>
        <w:t xml:space="preserve">González, </w:t>
      </w:r>
      <w:proofErr w:type="spellStart"/>
      <w:r w:rsidRPr="00271480">
        <w:rPr>
          <w:rFonts w:ascii="Times New Roman" w:hAnsi="Times New Roman"/>
          <w:sz w:val="24"/>
          <w:szCs w:val="24"/>
          <w:lang w:val="en-US"/>
        </w:rPr>
        <w:t>María</w:t>
      </w:r>
      <w:proofErr w:type="spellEnd"/>
      <w:r w:rsidRPr="00271480">
        <w:rPr>
          <w:rFonts w:ascii="Times New Roman" w:hAnsi="Times New Roman"/>
          <w:sz w:val="24"/>
          <w:szCs w:val="24"/>
          <w:lang w:val="en-US"/>
        </w:rPr>
        <w:t xml:space="preserve"> de </w:t>
      </w:r>
      <w:proofErr w:type="spellStart"/>
      <w:proofErr w:type="gramStart"/>
      <w:r w:rsidRPr="00271480">
        <w:rPr>
          <w:rFonts w:ascii="Times New Roman" w:hAnsi="Times New Roman"/>
          <w:sz w:val="24"/>
          <w:szCs w:val="24"/>
          <w:lang w:val="en-US"/>
        </w:rPr>
        <w:t>los</w:t>
      </w:r>
      <w:proofErr w:type="spellEnd"/>
      <w:proofErr w:type="gramEnd"/>
      <w:r w:rsidRPr="00271480">
        <w:rPr>
          <w:rFonts w:ascii="Times New Roman" w:hAnsi="Times New Roman"/>
          <w:sz w:val="24"/>
          <w:szCs w:val="24"/>
          <w:lang w:val="en-US"/>
        </w:rPr>
        <w:t xml:space="preserve"> Angeles (2000). </w:t>
      </w:r>
      <w:r w:rsidRPr="00271480">
        <w:rPr>
          <w:rFonts w:ascii="Times New Roman" w:hAnsi="Times New Roman"/>
          <w:i/>
          <w:iCs/>
          <w:sz w:val="24"/>
          <w:szCs w:val="24"/>
          <w:lang w:val="en-US"/>
        </w:rPr>
        <w:t>On Elections, Democracy and Macroeconomic Policy cycles: Evidence from México</w:t>
      </w:r>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Princeton University.</w:t>
      </w:r>
      <w:proofErr w:type="gramEnd"/>
    </w:p>
    <w:p w:rsidR="00551A9B" w:rsidRDefault="00551A9B" w:rsidP="00863D0E">
      <w:pPr>
        <w:spacing w:before="240" w:after="0" w:line="240" w:lineRule="auto"/>
        <w:ind w:firstLine="708"/>
        <w:rPr>
          <w:rFonts w:ascii="Times New Roman" w:hAnsi="Times New Roman"/>
          <w:sz w:val="24"/>
          <w:szCs w:val="24"/>
          <w:lang w:val="en-US"/>
        </w:rPr>
      </w:pPr>
      <w:r w:rsidRPr="00271480">
        <w:rPr>
          <w:rFonts w:ascii="Times New Roman" w:hAnsi="Times New Roman"/>
          <w:sz w:val="24"/>
          <w:szCs w:val="24"/>
        </w:rPr>
        <w:t xml:space="preserve">González, María de los </w:t>
      </w:r>
      <w:proofErr w:type="spellStart"/>
      <w:r w:rsidRPr="00271480">
        <w:rPr>
          <w:rFonts w:ascii="Times New Roman" w:hAnsi="Times New Roman"/>
          <w:sz w:val="24"/>
          <w:szCs w:val="24"/>
        </w:rPr>
        <w:t>Angeles</w:t>
      </w:r>
      <w:proofErr w:type="spellEnd"/>
      <w:r w:rsidRPr="00271480">
        <w:rPr>
          <w:rFonts w:ascii="Times New Roman" w:hAnsi="Times New Roman"/>
          <w:sz w:val="24"/>
          <w:szCs w:val="24"/>
        </w:rPr>
        <w:t xml:space="preserve"> (2002). </w:t>
      </w:r>
      <w:r w:rsidRPr="00271480">
        <w:rPr>
          <w:rFonts w:ascii="Times New Roman" w:hAnsi="Times New Roman"/>
          <w:i/>
          <w:iCs/>
          <w:sz w:val="24"/>
          <w:szCs w:val="24"/>
          <w:lang w:val="en-US"/>
        </w:rPr>
        <w:t>Do Changes in Democracy Affect the Political</w:t>
      </w:r>
      <w:r w:rsidRPr="00271480">
        <w:rPr>
          <w:rFonts w:ascii="Times New Roman" w:hAnsi="Times New Roman"/>
          <w:sz w:val="24"/>
          <w:szCs w:val="24"/>
          <w:lang w:val="en-US"/>
        </w:rPr>
        <w:t xml:space="preserve"> </w:t>
      </w:r>
      <w:r w:rsidRPr="00271480">
        <w:rPr>
          <w:rFonts w:ascii="Times New Roman" w:hAnsi="Times New Roman"/>
          <w:i/>
          <w:iCs/>
          <w:sz w:val="24"/>
          <w:szCs w:val="24"/>
          <w:lang w:val="en-US"/>
        </w:rPr>
        <w:t xml:space="preserve">Budget Cycle? </w:t>
      </w:r>
      <w:proofErr w:type="gramStart"/>
      <w:r w:rsidRPr="00271480">
        <w:rPr>
          <w:rFonts w:ascii="Times New Roman" w:hAnsi="Times New Roman"/>
          <w:i/>
          <w:iCs/>
          <w:sz w:val="24"/>
          <w:szCs w:val="24"/>
          <w:lang w:val="en-US"/>
        </w:rPr>
        <w:t>Evidence from Mexico</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Review of Development Economics.</w:t>
      </w:r>
      <w:proofErr w:type="gramEnd"/>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6 (2).</w:t>
      </w:r>
      <w:proofErr w:type="gramEnd"/>
    </w:p>
    <w:p w:rsidR="008D65DD" w:rsidRDefault="008D65DD" w:rsidP="00863D0E">
      <w:pPr>
        <w:spacing w:before="240" w:after="0" w:line="240" w:lineRule="auto"/>
        <w:ind w:firstLine="708"/>
        <w:rPr>
          <w:rFonts w:ascii="Times New Roman" w:hAnsi="Times New Roman"/>
          <w:sz w:val="24"/>
          <w:szCs w:val="24"/>
          <w:lang w:val="en-US"/>
        </w:rPr>
      </w:pPr>
      <w:r>
        <w:rPr>
          <w:rFonts w:ascii="Times New Roman" w:hAnsi="Times New Roman"/>
          <w:sz w:val="24"/>
          <w:szCs w:val="24"/>
          <w:lang w:val="en-US"/>
        </w:rPr>
        <w:lastRenderedPageBreak/>
        <w:t xml:space="preserve">Gupta, Sanjeev, Estelle Liu y Carlos </w:t>
      </w:r>
      <w:proofErr w:type="spellStart"/>
      <w:r>
        <w:rPr>
          <w:rFonts w:ascii="Times New Roman" w:hAnsi="Times New Roman"/>
          <w:sz w:val="24"/>
          <w:szCs w:val="24"/>
          <w:lang w:val="en-US"/>
        </w:rPr>
        <w:t>Mulas</w:t>
      </w:r>
      <w:proofErr w:type="spellEnd"/>
      <w:r>
        <w:rPr>
          <w:rFonts w:ascii="Times New Roman" w:hAnsi="Times New Roman"/>
          <w:sz w:val="24"/>
          <w:szCs w:val="24"/>
          <w:lang w:val="en-US"/>
        </w:rPr>
        <w:t xml:space="preserve"> Granados (2015</w:t>
      </w:r>
      <w:r w:rsidRPr="008D65DD">
        <w:rPr>
          <w:rFonts w:ascii="Times New Roman" w:hAnsi="Times New Roman"/>
          <w:i/>
          <w:sz w:val="24"/>
          <w:szCs w:val="24"/>
          <w:lang w:val="en-US"/>
        </w:rPr>
        <w:t xml:space="preserve">). </w:t>
      </w:r>
      <w:proofErr w:type="gramStart"/>
      <w:r w:rsidRPr="008D65DD">
        <w:rPr>
          <w:rFonts w:ascii="Times New Roman" w:hAnsi="Times New Roman"/>
          <w:i/>
          <w:sz w:val="24"/>
          <w:szCs w:val="24"/>
          <w:lang w:val="en-US"/>
        </w:rPr>
        <w:t>Now or Later?</w:t>
      </w:r>
      <w:proofErr w:type="gramEnd"/>
      <w:r w:rsidRPr="008D65DD">
        <w:rPr>
          <w:rFonts w:ascii="Times New Roman" w:hAnsi="Times New Roman"/>
          <w:i/>
          <w:sz w:val="24"/>
          <w:szCs w:val="24"/>
          <w:lang w:val="en-US"/>
        </w:rPr>
        <w:t xml:space="preserve"> </w:t>
      </w:r>
      <w:proofErr w:type="gramStart"/>
      <w:r w:rsidRPr="008D65DD">
        <w:rPr>
          <w:rFonts w:ascii="Times New Roman" w:hAnsi="Times New Roman"/>
          <w:i/>
          <w:sz w:val="24"/>
          <w:szCs w:val="24"/>
          <w:lang w:val="en-US"/>
        </w:rPr>
        <w:t>The Political Economy of Public Investment in Democracies.</w:t>
      </w:r>
      <w:proofErr w:type="gramEnd"/>
      <w:r>
        <w:rPr>
          <w:rFonts w:ascii="Times New Roman" w:hAnsi="Times New Roman"/>
          <w:sz w:val="24"/>
          <w:szCs w:val="24"/>
          <w:lang w:val="en-US"/>
        </w:rPr>
        <w:t xml:space="preserve"> IMF Working Paper WP/15/175</w:t>
      </w:r>
    </w:p>
    <w:p w:rsidR="00944D12" w:rsidRPr="00A032F3" w:rsidRDefault="00944D12" w:rsidP="00863D0E">
      <w:pPr>
        <w:spacing w:before="240" w:line="240" w:lineRule="auto"/>
        <w:ind w:firstLine="708"/>
        <w:rPr>
          <w:rFonts w:ascii="Times New Roman" w:hAnsi="Times New Roman" w:cs="Times New Roman"/>
          <w:sz w:val="24"/>
          <w:szCs w:val="24"/>
          <w:lang w:val="en-US"/>
        </w:rPr>
      </w:pPr>
      <w:proofErr w:type="gramStart"/>
      <w:r w:rsidRPr="00A032F3">
        <w:rPr>
          <w:rFonts w:ascii="Times New Roman" w:hAnsi="Times New Roman" w:cs="Times New Roman"/>
          <w:sz w:val="24"/>
          <w:szCs w:val="24"/>
          <w:lang w:val="en-US"/>
        </w:rPr>
        <w:t>INEGI.</w:t>
      </w:r>
      <w:proofErr w:type="gramEnd"/>
      <w:r w:rsidRPr="00A032F3">
        <w:rPr>
          <w:rFonts w:ascii="Times New Roman" w:hAnsi="Times New Roman" w:cs="Times New Roman"/>
          <w:sz w:val="24"/>
          <w:szCs w:val="24"/>
          <w:lang w:val="en-US"/>
        </w:rPr>
        <w:t xml:space="preserve"> </w:t>
      </w:r>
      <w:proofErr w:type="gramStart"/>
      <w:r w:rsidRPr="00A032F3">
        <w:rPr>
          <w:rFonts w:ascii="Times New Roman" w:hAnsi="Times New Roman" w:cs="Times New Roman"/>
          <w:sz w:val="24"/>
          <w:szCs w:val="24"/>
          <w:lang w:val="en-US"/>
        </w:rPr>
        <w:t>Ban</w:t>
      </w:r>
      <w:r w:rsidR="00A032F3">
        <w:rPr>
          <w:rFonts w:ascii="Times New Roman" w:hAnsi="Times New Roman" w:cs="Times New Roman"/>
          <w:sz w:val="24"/>
          <w:szCs w:val="24"/>
          <w:lang w:val="en-US"/>
        </w:rPr>
        <w:t>c</w:t>
      </w:r>
      <w:r w:rsidRPr="00A032F3">
        <w:rPr>
          <w:rFonts w:ascii="Times New Roman" w:hAnsi="Times New Roman" w:cs="Times New Roman"/>
          <w:sz w:val="24"/>
          <w:szCs w:val="24"/>
          <w:lang w:val="en-US"/>
        </w:rPr>
        <w:t xml:space="preserve">o de </w:t>
      </w:r>
      <w:proofErr w:type="spellStart"/>
      <w:r w:rsidRPr="00A032F3">
        <w:rPr>
          <w:rFonts w:ascii="Times New Roman" w:hAnsi="Times New Roman" w:cs="Times New Roman"/>
          <w:sz w:val="24"/>
          <w:szCs w:val="24"/>
          <w:lang w:val="en-US"/>
        </w:rPr>
        <w:t>Información</w:t>
      </w:r>
      <w:proofErr w:type="spellEnd"/>
      <w:r w:rsidRPr="00A032F3">
        <w:rPr>
          <w:rFonts w:ascii="Times New Roman" w:hAnsi="Times New Roman" w:cs="Times New Roman"/>
          <w:sz w:val="24"/>
          <w:szCs w:val="24"/>
          <w:lang w:val="en-US"/>
        </w:rPr>
        <w:t xml:space="preserve"> </w:t>
      </w:r>
      <w:proofErr w:type="spellStart"/>
      <w:r w:rsidRPr="00A032F3">
        <w:rPr>
          <w:rFonts w:ascii="Times New Roman" w:hAnsi="Times New Roman" w:cs="Times New Roman"/>
          <w:sz w:val="24"/>
          <w:szCs w:val="24"/>
          <w:lang w:val="en-US"/>
        </w:rPr>
        <w:t>Económica</w:t>
      </w:r>
      <w:proofErr w:type="spellEnd"/>
      <w:r w:rsidRPr="00A032F3">
        <w:rPr>
          <w:rFonts w:ascii="Times New Roman" w:hAnsi="Times New Roman" w:cs="Times New Roman"/>
          <w:sz w:val="24"/>
          <w:szCs w:val="24"/>
          <w:lang w:val="en-US"/>
        </w:rPr>
        <w:t xml:space="preserve"> (BIE).</w:t>
      </w:r>
      <w:proofErr w:type="gramEnd"/>
      <w:r w:rsidRPr="00A032F3">
        <w:rPr>
          <w:rFonts w:ascii="Times New Roman" w:hAnsi="Times New Roman" w:cs="Times New Roman"/>
          <w:sz w:val="24"/>
          <w:szCs w:val="24"/>
          <w:lang w:val="en-US"/>
        </w:rPr>
        <w:t xml:space="preserve">  </w:t>
      </w:r>
      <w:proofErr w:type="spellStart"/>
      <w:proofErr w:type="gramStart"/>
      <w:r w:rsidRPr="00A032F3">
        <w:rPr>
          <w:rFonts w:ascii="Times New Roman" w:hAnsi="Times New Roman" w:cs="Times New Roman"/>
          <w:sz w:val="24"/>
          <w:szCs w:val="24"/>
          <w:lang w:val="en-US"/>
        </w:rPr>
        <w:t>Formación</w:t>
      </w:r>
      <w:proofErr w:type="spellEnd"/>
      <w:r w:rsidRPr="00A032F3">
        <w:rPr>
          <w:rFonts w:ascii="Times New Roman" w:hAnsi="Times New Roman" w:cs="Times New Roman"/>
          <w:sz w:val="24"/>
          <w:szCs w:val="24"/>
          <w:lang w:val="en-US"/>
        </w:rPr>
        <w:t xml:space="preserve"> </w:t>
      </w:r>
      <w:proofErr w:type="spellStart"/>
      <w:r w:rsidRPr="00A032F3">
        <w:rPr>
          <w:rFonts w:ascii="Times New Roman" w:hAnsi="Times New Roman" w:cs="Times New Roman"/>
          <w:sz w:val="24"/>
          <w:szCs w:val="24"/>
          <w:lang w:val="en-US"/>
        </w:rPr>
        <w:t>bruta</w:t>
      </w:r>
      <w:proofErr w:type="spellEnd"/>
      <w:r w:rsidRPr="00A032F3">
        <w:rPr>
          <w:rFonts w:ascii="Times New Roman" w:hAnsi="Times New Roman" w:cs="Times New Roman"/>
          <w:sz w:val="24"/>
          <w:szCs w:val="24"/>
          <w:lang w:val="en-US"/>
        </w:rPr>
        <w:t xml:space="preserve"> de capital </w:t>
      </w:r>
      <w:proofErr w:type="spellStart"/>
      <w:r w:rsidRPr="00A032F3">
        <w:rPr>
          <w:rFonts w:ascii="Times New Roman" w:hAnsi="Times New Roman" w:cs="Times New Roman"/>
          <w:sz w:val="24"/>
          <w:szCs w:val="24"/>
          <w:lang w:val="en-US"/>
        </w:rPr>
        <w:t>por</w:t>
      </w:r>
      <w:proofErr w:type="spellEnd"/>
      <w:r w:rsidRPr="00A032F3">
        <w:rPr>
          <w:rFonts w:ascii="Times New Roman" w:hAnsi="Times New Roman" w:cs="Times New Roman"/>
          <w:sz w:val="24"/>
          <w:szCs w:val="24"/>
          <w:lang w:val="en-US"/>
        </w:rPr>
        <w:t xml:space="preserve"> </w:t>
      </w:r>
      <w:proofErr w:type="spellStart"/>
      <w:r w:rsidRPr="00A032F3">
        <w:rPr>
          <w:rFonts w:ascii="Times New Roman" w:hAnsi="Times New Roman" w:cs="Times New Roman"/>
          <w:sz w:val="24"/>
          <w:szCs w:val="24"/>
          <w:lang w:val="en-US"/>
        </w:rPr>
        <w:t>tipo</w:t>
      </w:r>
      <w:proofErr w:type="spellEnd"/>
      <w:r w:rsidRPr="00A032F3">
        <w:rPr>
          <w:rFonts w:ascii="Times New Roman" w:hAnsi="Times New Roman" w:cs="Times New Roman"/>
          <w:sz w:val="24"/>
          <w:szCs w:val="24"/>
          <w:lang w:val="en-US"/>
        </w:rPr>
        <w:t xml:space="preserve"> de </w:t>
      </w:r>
      <w:proofErr w:type="spellStart"/>
      <w:r w:rsidRPr="00A032F3">
        <w:rPr>
          <w:rFonts w:ascii="Times New Roman" w:hAnsi="Times New Roman" w:cs="Times New Roman"/>
          <w:sz w:val="24"/>
          <w:szCs w:val="24"/>
          <w:lang w:val="en-US"/>
        </w:rPr>
        <w:t>bien</w:t>
      </w:r>
      <w:proofErr w:type="spellEnd"/>
      <w:r w:rsidRPr="00A032F3">
        <w:rPr>
          <w:rFonts w:ascii="Times New Roman" w:hAnsi="Times New Roman" w:cs="Times New Roman"/>
          <w:sz w:val="24"/>
          <w:szCs w:val="24"/>
          <w:lang w:val="en-US"/>
        </w:rPr>
        <w:t xml:space="preserve"> y comprador.</w:t>
      </w:r>
      <w:proofErr w:type="gramEnd"/>
      <w:r w:rsidRPr="00A032F3">
        <w:rPr>
          <w:rFonts w:ascii="Times New Roman" w:hAnsi="Times New Roman" w:cs="Times New Roman"/>
          <w:sz w:val="24"/>
          <w:szCs w:val="24"/>
          <w:lang w:val="en-US"/>
        </w:rPr>
        <w:t xml:space="preserve"> </w:t>
      </w:r>
      <w:proofErr w:type="spellStart"/>
      <w:r w:rsidR="00A032F3" w:rsidRPr="00A032F3">
        <w:rPr>
          <w:rFonts w:ascii="Times New Roman" w:hAnsi="Times New Roman" w:cs="Times New Roman"/>
          <w:sz w:val="24"/>
          <w:szCs w:val="24"/>
          <w:lang w:val="en-US"/>
        </w:rPr>
        <w:t>Fecha</w:t>
      </w:r>
      <w:proofErr w:type="spellEnd"/>
      <w:r w:rsidR="00A032F3" w:rsidRPr="00A032F3">
        <w:rPr>
          <w:rFonts w:ascii="Times New Roman" w:hAnsi="Times New Roman" w:cs="Times New Roman"/>
          <w:sz w:val="24"/>
          <w:szCs w:val="24"/>
          <w:lang w:val="en-US"/>
        </w:rPr>
        <w:t xml:space="preserve"> de </w:t>
      </w:r>
      <w:proofErr w:type="spellStart"/>
      <w:r w:rsidR="00A032F3" w:rsidRPr="00A032F3">
        <w:rPr>
          <w:rFonts w:ascii="Times New Roman" w:hAnsi="Times New Roman" w:cs="Times New Roman"/>
          <w:sz w:val="24"/>
          <w:szCs w:val="24"/>
          <w:lang w:val="en-US"/>
        </w:rPr>
        <w:t>consulta</w:t>
      </w:r>
      <w:proofErr w:type="spellEnd"/>
      <w:r w:rsidR="00A032F3" w:rsidRPr="00A032F3">
        <w:rPr>
          <w:rFonts w:ascii="Times New Roman" w:hAnsi="Times New Roman" w:cs="Times New Roman"/>
          <w:sz w:val="24"/>
          <w:szCs w:val="24"/>
          <w:lang w:val="en-US"/>
        </w:rPr>
        <w:t xml:space="preserve">: </w:t>
      </w:r>
      <w:r w:rsidR="00A032F3" w:rsidRPr="00A032F3">
        <w:rPr>
          <w:rFonts w:ascii="Times New Roman" w:eastAsia="Times New Roman" w:hAnsi="Times New Roman" w:cs="Times New Roman"/>
          <w:sz w:val="24"/>
          <w:szCs w:val="24"/>
          <w:lang w:eastAsia="es-MX"/>
        </w:rPr>
        <w:t>22/06/2016 8:33:47</w:t>
      </w:r>
    </w:p>
    <w:p w:rsidR="00551A9B" w:rsidRDefault="00551A9B" w:rsidP="00863D0E">
      <w:pPr>
        <w:spacing w:before="240" w:line="240" w:lineRule="auto"/>
        <w:ind w:firstLine="708"/>
        <w:rPr>
          <w:rFonts w:ascii="Times New Roman" w:hAnsi="Times New Roman"/>
          <w:sz w:val="24"/>
          <w:szCs w:val="24"/>
          <w:lang w:val="en-US"/>
        </w:rPr>
      </w:pPr>
      <w:proofErr w:type="spellStart"/>
      <w:r>
        <w:rPr>
          <w:rFonts w:ascii="Times New Roman" w:hAnsi="Times New Roman"/>
          <w:sz w:val="24"/>
          <w:szCs w:val="24"/>
          <w:lang w:val="en-US"/>
        </w:rPr>
        <w:t>Khemani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Stuti</w:t>
      </w:r>
      <w:proofErr w:type="spellEnd"/>
      <w:r>
        <w:rPr>
          <w:rFonts w:ascii="Times New Roman" w:hAnsi="Times New Roman"/>
          <w:sz w:val="24"/>
          <w:szCs w:val="24"/>
          <w:lang w:val="en-US"/>
        </w:rPr>
        <w:t xml:space="preserve"> (2000). </w:t>
      </w:r>
      <w:r>
        <w:rPr>
          <w:rFonts w:ascii="Times New Roman" w:hAnsi="Times New Roman"/>
          <w:i/>
          <w:iCs/>
          <w:sz w:val="24"/>
          <w:szCs w:val="24"/>
          <w:lang w:val="en-US"/>
        </w:rPr>
        <w:t>Political Cycles in a Developing Economy: Effects of Elections in the Indian States</w:t>
      </w:r>
      <w:r>
        <w:rPr>
          <w:rFonts w:ascii="Times New Roman" w:hAnsi="Times New Roman"/>
          <w:sz w:val="24"/>
          <w:szCs w:val="24"/>
          <w:lang w:val="en-US"/>
        </w:rPr>
        <w:t xml:space="preserve">. </w:t>
      </w:r>
      <w:proofErr w:type="gramStart"/>
      <w:r>
        <w:rPr>
          <w:rFonts w:ascii="Times New Roman" w:hAnsi="Times New Roman"/>
          <w:sz w:val="24"/>
          <w:szCs w:val="24"/>
          <w:lang w:val="en-US"/>
        </w:rPr>
        <w:t>The World Bank.</w:t>
      </w:r>
      <w:proofErr w:type="gramEnd"/>
      <w:r>
        <w:rPr>
          <w:rFonts w:ascii="Times New Roman" w:hAnsi="Times New Roman"/>
          <w:sz w:val="24"/>
          <w:szCs w:val="24"/>
          <w:lang w:val="en-US"/>
        </w:rPr>
        <w:t xml:space="preserve"> Development Research Group. </w:t>
      </w:r>
    </w:p>
    <w:p w:rsidR="00551A9B" w:rsidRPr="00271480" w:rsidRDefault="00551A9B" w:rsidP="00863D0E">
      <w:pPr>
        <w:spacing w:before="240" w:after="0" w:line="240" w:lineRule="auto"/>
        <w:ind w:firstLine="708"/>
        <w:rPr>
          <w:rFonts w:ascii="Times New Roman" w:hAnsi="Times New Roman"/>
          <w:sz w:val="24"/>
          <w:szCs w:val="24"/>
        </w:rPr>
      </w:pPr>
      <w:r w:rsidRPr="009E086B">
        <w:rPr>
          <w:rFonts w:ascii="Times New Roman" w:hAnsi="Times New Roman"/>
          <w:sz w:val="24"/>
          <w:szCs w:val="24"/>
        </w:rPr>
        <w:t xml:space="preserve">Larraín, Felipe y Paola </w:t>
      </w:r>
      <w:proofErr w:type="spellStart"/>
      <w:r w:rsidRPr="009E086B">
        <w:rPr>
          <w:rFonts w:ascii="Times New Roman" w:hAnsi="Times New Roman"/>
          <w:sz w:val="24"/>
          <w:szCs w:val="24"/>
        </w:rPr>
        <w:t>Assael</w:t>
      </w:r>
      <w:proofErr w:type="spellEnd"/>
      <w:r w:rsidRPr="009E086B">
        <w:rPr>
          <w:rFonts w:ascii="Times New Roman" w:hAnsi="Times New Roman"/>
          <w:sz w:val="24"/>
          <w:szCs w:val="24"/>
        </w:rPr>
        <w:t xml:space="preserve"> (1995). </w:t>
      </w:r>
      <w:r w:rsidRPr="00271480">
        <w:rPr>
          <w:rFonts w:ascii="Times New Roman" w:hAnsi="Times New Roman"/>
          <w:i/>
          <w:iCs/>
          <w:sz w:val="24"/>
          <w:szCs w:val="24"/>
        </w:rPr>
        <w:t>Cincuenta Años de Ciclo Político-Económico en</w:t>
      </w:r>
      <w:r w:rsidRPr="00271480">
        <w:rPr>
          <w:rFonts w:ascii="Times New Roman" w:hAnsi="Times New Roman"/>
          <w:sz w:val="24"/>
          <w:szCs w:val="24"/>
        </w:rPr>
        <w:t xml:space="preserve"> </w:t>
      </w:r>
      <w:r w:rsidRPr="00271480">
        <w:rPr>
          <w:rFonts w:ascii="Times New Roman" w:hAnsi="Times New Roman"/>
          <w:i/>
          <w:iCs/>
          <w:sz w:val="24"/>
          <w:szCs w:val="24"/>
        </w:rPr>
        <w:t>Chile.</w:t>
      </w:r>
      <w:r w:rsidRPr="00271480">
        <w:rPr>
          <w:rFonts w:ascii="Times New Roman" w:hAnsi="Times New Roman"/>
          <w:sz w:val="24"/>
          <w:szCs w:val="24"/>
        </w:rPr>
        <w:t xml:space="preserve"> Cuadernos de Economía, 96, pp.129-150. </w:t>
      </w:r>
    </w:p>
    <w:p w:rsidR="00551A9B" w:rsidRPr="00271480" w:rsidRDefault="00551A9B" w:rsidP="00863D0E">
      <w:pPr>
        <w:spacing w:before="240" w:after="0" w:line="240" w:lineRule="auto"/>
        <w:ind w:firstLine="708"/>
        <w:rPr>
          <w:rFonts w:ascii="Times New Roman" w:hAnsi="Times New Roman"/>
          <w:sz w:val="24"/>
          <w:szCs w:val="24"/>
        </w:rPr>
      </w:pPr>
      <w:r w:rsidRPr="00271480">
        <w:rPr>
          <w:rFonts w:ascii="Times New Roman" w:hAnsi="Times New Roman"/>
          <w:sz w:val="24"/>
          <w:szCs w:val="24"/>
        </w:rPr>
        <w:t xml:space="preserve">Larraín, Felipe y Paola </w:t>
      </w:r>
      <w:proofErr w:type="spellStart"/>
      <w:r w:rsidRPr="00271480">
        <w:rPr>
          <w:rFonts w:ascii="Times New Roman" w:hAnsi="Times New Roman"/>
          <w:sz w:val="24"/>
          <w:szCs w:val="24"/>
        </w:rPr>
        <w:t>Assael</w:t>
      </w:r>
      <w:proofErr w:type="spellEnd"/>
      <w:r w:rsidRPr="00271480">
        <w:rPr>
          <w:rFonts w:ascii="Times New Roman" w:hAnsi="Times New Roman"/>
          <w:sz w:val="24"/>
          <w:szCs w:val="24"/>
        </w:rPr>
        <w:t xml:space="preserve"> (1997). </w:t>
      </w:r>
      <w:r w:rsidRPr="00271480">
        <w:rPr>
          <w:rFonts w:ascii="Times New Roman" w:hAnsi="Times New Roman"/>
          <w:i/>
          <w:iCs/>
          <w:sz w:val="24"/>
          <w:szCs w:val="24"/>
        </w:rPr>
        <w:t>El Ciclo Político Económico en Chile en el Último</w:t>
      </w:r>
      <w:r w:rsidRPr="00271480">
        <w:rPr>
          <w:rFonts w:ascii="Times New Roman" w:hAnsi="Times New Roman"/>
          <w:sz w:val="24"/>
          <w:szCs w:val="24"/>
        </w:rPr>
        <w:t xml:space="preserve"> </w:t>
      </w:r>
      <w:r w:rsidRPr="00271480">
        <w:rPr>
          <w:rFonts w:ascii="Times New Roman" w:hAnsi="Times New Roman"/>
          <w:i/>
          <w:iCs/>
          <w:sz w:val="24"/>
          <w:szCs w:val="24"/>
        </w:rPr>
        <w:t>Medio Siglo</w:t>
      </w:r>
      <w:r w:rsidRPr="00271480">
        <w:rPr>
          <w:rFonts w:ascii="Times New Roman" w:hAnsi="Times New Roman"/>
          <w:sz w:val="24"/>
          <w:szCs w:val="24"/>
        </w:rPr>
        <w:t xml:space="preserve">. Estudios Públicos. (Primavera), pp.197-214. </w:t>
      </w:r>
    </w:p>
    <w:p w:rsidR="00551A9B" w:rsidRPr="00271480" w:rsidRDefault="00551A9B" w:rsidP="00863D0E">
      <w:pPr>
        <w:spacing w:before="240" w:after="0" w:line="240" w:lineRule="auto"/>
        <w:ind w:firstLine="708"/>
        <w:rPr>
          <w:rFonts w:ascii="Times New Roman" w:hAnsi="Times New Roman"/>
          <w:sz w:val="24"/>
          <w:szCs w:val="24"/>
        </w:rPr>
      </w:pPr>
      <w:r w:rsidRPr="00271480">
        <w:rPr>
          <w:rFonts w:ascii="Times New Roman" w:hAnsi="Times New Roman"/>
          <w:sz w:val="24"/>
          <w:szCs w:val="24"/>
        </w:rPr>
        <w:t xml:space="preserve">López González, Mauricio, Santiago Gallón Gómez y Christian </w:t>
      </w:r>
      <w:proofErr w:type="spellStart"/>
      <w:r w:rsidRPr="00271480">
        <w:rPr>
          <w:rFonts w:ascii="Times New Roman" w:hAnsi="Times New Roman"/>
          <w:sz w:val="24"/>
          <w:szCs w:val="24"/>
        </w:rPr>
        <w:t>Fresard</w:t>
      </w:r>
      <w:proofErr w:type="spellEnd"/>
      <w:r w:rsidRPr="00271480">
        <w:rPr>
          <w:rFonts w:ascii="Times New Roman" w:hAnsi="Times New Roman"/>
          <w:sz w:val="24"/>
          <w:szCs w:val="24"/>
        </w:rPr>
        <w:t xml:space="preserve"> Briones (2002). </w:t>
      </w:r>
      <w:r w:rsidRPr="00271480">
        <w:rPr>
          <w:rFonts w:ascii="Times New Roman" w:hAnsi="Times New Roman"/>
          <w:i/>
          <w:sz w:val="24"/>
          <w:szCs w:val="24"/>
        </w:rPr>
        <w:t>El Ciclo Político Económico en Colombia, 1925-1999</w:t>
      </w:r>
      <w:r w:rsidRPr="00271480">
        <w:rPr>
          <w:rFonts w:ascii="Times New Roman" w:hAnsi="Times New Roman"/>
          <w:sz w:val="24"/>
          <w:szCs w:val="24"/>
        </w:rPr>
        <w:t>. Lecturas de Economía. Departamento de Economía. Universidad de Antioquia. Colombia. No 56.</w:t>
      </w:r>
    </w:p>
    <w:p w:rsidR="00551A9B" w:rsidRPr="00271480" w:rsidRDefault="00551A9B" w:rsidP="00863D0E">
      <w:pPr>
        <w:spacing w:before="240" w:after="0" w:line="240" w:lineRule="auto"/>
        <w:ind w:firstLine="708"/>
        <w:rPr>
          <w:rFonts w:ascii="Times New Roman" w:hAnsi="Times New Roman"/>
          <w:sz w:val="24"/>
          <w:szCs w:val="24"/>
        </w:rPr>
      </w:pPr>
      <w:proofErr w:type="spellStart"/>
      <w:r w:rsidRPr="00271480">
        <w:rPr>
          <w:rFonts w:ascii="Times New Roman" w:hAnsi="Times New Roman"/>
          <w:sz w:val="24"/>
          <w:szCs w:val="24"/>
        </w:rPr>
        <w:t>Magaloni</w:t>
      </w:r>
      <w:proofErr w:type="spellEnd"/>
      <w:r w:rsidRPr="00271480">
        <w:rPr>
          <w:rFonts w:ascii="Times New Roman" w:hAnsi="Times New Roman"/>
          <w:sz w:val="24"/>
          <w:szCs w:val="24"/>
        </w:rPr>
        <w:t xml:space="preserve">, Beatriz (2000). </w:t>
      </w:r>
      <w:proofErr w:type="spellStart"/>
      <w:r w:rsidRPr="00271480">
        <w:rPr>
          <w:rFonts w:ascii="Times New Roman" w:hAnsi="Times New Roman"/>
          <w:i/>
          <w:iCs/>
          <w:sz w:val="24"/>
          <w:szCs w:val="24"/>
        </w:rPr>
        <w:t>Institutions</w:t>
      </w:r>
      <w:proofErr w:type="spellEnd"/>
      <w:r w:rsidRPr="00271480">
        <w:rPr>
          <w:rFonts w:ascii="Times New Roman" w:hAnsi="Times New Roman"/>
          <w:i/>
          <w:iCs/>
          <w:sz w:val="24"/>
          <w:szCs w:val="24"/>
        </w:rPr>
        <w:t xml:space="preserve">, </w:t>
      </w:r>
      <w:proofErr w:type="spellStart"/>
      <w:r w:rsidRPr="00271480">
        <w:rPr>
          <w:rFonts w:ascii="Times New Roman" w:hAnsi="Times New Roman"/>
          <w:i/>
          <w:iCs/>
          <w:sz w:val="24"/>
          <w:szCs w:val="24"/>
        </w:rPr>
        <w:t>Political</w:t>
      </w:r>
      <w:proofErr w:type="spellEnd"/>
      <w:r w:rsidRPr="00271480">
        <w:rPr>
          <w:rFonts w:ascii="Times New Roman" w:hAnsi="Times New Roman"/>
          <w:i/>
          <w:iCs/>
          <w:sz w:val="24"/>
          <w:szCs w:val="24"/>
        </w:rPr>
        <w:t xml:space="preserve"> </w:t>
      </w:r>
      <w:proofErr w:type="spellStart"/>
      <w:r w:rsidRPr="00271480">
        <w:rPr>
          <w:rFonts w:ascii="Times New Roman" w:hAnsi="Times New Roman"/>
          <w:i/>
          <w:iCs/>
          <w:sz w:val="24"/>
          <w:szCs w:val="24"/>
        </w:rPr>
        <w:t>Opportunism</w:t>
      </w:r>
      <w:proofErr w:type="spellEnd"/>
      <w:r w:rsidRPr="00271480">
        <w:rPr>
          <w:rFonts w:ascii="Times New Roman" w:hAnsi="Times New Roman"/>
          <w:i/>
          <w:iCs/>
          <w:sz w:val="24"/>
          <w:szCs w:val="24"/>
        </w:rPr>
        <w:t xml:space="preserve"> and </w:t>
      </w:r>
      <w:proofErr w:type="spellStart"/>
      <w:r w:rsidRPr="00271480">
        <w:rPr>
          <w:rFonts w:ascii="Times New Roman" w:hAnsi="Times New Roman"/>
          <w:i/>
          <w:iCs/>
          <w:sz w:val="24"/>
          <w:szCs w:val="24"/>
        </w:rPr>
        <w:t>Macroeconomic</w:t>
      </w:r>
      <w:proofErr w:type="spellEnd"/>
      <w:r w:rsidRPr="00271480">
        <w:rPr>
          <w:rFonts w:ascii="Times New Roman" w:hAnsi="Times New Roman"/>
          <w:i/>
          <w:iCs/>
          <w:sz w:val="24"/>
          <w:szCs w:val="24"/>
        </w:rPr>
        <w:t xml:space="preserve"> </w:t>
      </w:r>
      <w:proofErr w:type="spellStart"/>
      <w:r w:rsidRPr="00271480">
        <w:rPr>
          <w:rFonts w:ascii="Times New Roman" w:hAnsi="Times New Roman"/>
          <w:i/>
          <w:iCs/>
          <w:sz w:val="24"/>
          <w:szCs w:val="24"/>
        </w:rPr>
        <w:t>Cycles</w:t>
      </w:r>
      <w:proofErr w:type="spellEnd"/>
      <w:r w:rsidRPr="00271480">
        <w:rPr>
          <w:rFonts w:ascii="Times New Roman" w:hAnsi="Times New Roman"/>
          <w:i/>
          <w:iCs/>
          <w:sz w:val="24"/>
          <w:szCs w:val="24"/>
        </w:rPr>
        <w:t>:</w:t>
      </w:r>
      <w:r w:rsidRPr="00271480">
        <w:rPr>
          <w:rFonts w:ascii="Times New Roman" w:hAnsi="Times New Roman"/>
          <w:sz w:val="24"/>
          <w:szCs w:val="24"/>
        </w:rPr>
        <w:t xml:space="preserve"> </w:t>
      </w:r>
      <w:r w:rsidRPr="00271480">
        <w:rPr>
          <w:rFonts w:ascii="Times New Roman" w:hAnsi="Times New Roman"/>
          <w:i/>
          <w:iCs/>
          <w:sz w:val="24"/>
          <w:szCs w:val="24"/>
        </w:rPr>
        <w:t>México 1970-1998</w:t>
      </w:r>
      <w:r w:rsidRPr="00271480">
        <w:rPr>
          <w:rFonts w:ascii="Times New Roman" w:hAnsi="Times New Roman"/>
          <w:sz w:val="24"/>
          <w:szCs w:val="24"/>
        </w:rPr>
        <w:t xml:space="preserve">. Stanford </w:t>
      </w:r>
      <w:proofErr w:type="spellStart"/>
      <w:r w:rsidRPr="00271480">
        <w:rPr>
          <w:rFonts w:ascii="Times New Roman" w:hAnsi="Times New Roman"/>
          <w:sz w:val="24"/>
          <w:szCs w:val="24"/>
        </w:rPr>
        <w:t>University</w:t>
      </w:r>
      <w:proofErr w:type="spellEnd"/>
      <w:r w:rsidRPr="00271480">
        <w:rPr>
          <w:rFonts w:ascii="Times New Roman" w:hAnsi="Times New Roman"/>
          <w:sz w:val="24"/>
          <w:szCs w:val="24"/>
        </w:rPr>
        <w:t>.</w:t>
      </w:r>
    </w:p>
    <w:p w:rsidR="00551A9B" w:rsidRPr="00271480" w:rsidRDefault="00551A9B" w:rsidP="00863D0E">
      <w:pPr>
        <w:spacing w:before="240" w:after="0" w:line="240" w:lineRule="auto"/>
        <w:ind w:firstLine="708"/>
        <w:rPr>
          <w:rFonts w:ascii="Times New Roman" w:hAnsi="Times New Roman"/>
          <w:sz w:val="24"/>
          <w:szCs w:val="24"/>
        </w:rPr>
      </w:pPr>
      <w:r w:rsidRPr="00271480">
        <w:rPr>
          <w:rFonts w:ascii="Times New Roman" w:hAnsi="Times New Roman"/>
          <w:sz w:val="24"/>
          <w:szCs w:val="24"/>
        </w:rPr>
        <w:t xml:space="preserve">Medina, Leandro Manuel (2003). </w:t>
      </w:r>
      <w:r w:rsidRPr="00271480">
        <w:rPr>
          <w:rFonts w:ascii="Times New Roman" w:hAnsi="Times New Roman"/>
          <w:i/>
          <w:iCs/>
          <w:sz w:val="24"/>
          <w:szCs w:val="24"/>
        </w:rPr>
        <w:t>Evidencia del Ciclo Electoral-Presupuestario en las Provincias Argentinas</w:t>
      </w:r>
      <w:r w:rsidRPr="00271480">
        <w:rPr>
          <w:rFonts w:ascii="Times New Roman" w:hAnsi="Times New Roman"/>
          <w:sz w:val="24"/>
          <w:szCs w:val="24"/>
        </w:rPr>
        <w:t>. Universidad del CEMA.</w:t>
      </w:r>
    </w:p>
    <w:p w:rsidR="00551A9B" w:rsidRPr="00271480" w:rsidRDefault="00551A9B" w:rsidP="00863D0E">
      <w:pPr>
        <w:spacing w:before="240" w:after="0" w:line="240" w:lineRule="auto"/>
        <w:ind w:firstLine="708"/>
        <w:rPr>
          <w:rFonts w:ascii="Times New Roman" w:hAnsi="Times New Roman"/>
          <w:sz w:val="24"/>
          <w:szCs w:val="24"/>
          <w:lang w:val="en-US"/>
        </w:rPr>
      </w:pPr>
      <w:r w:rsidRPr="00271480">
        <w:rPr>
          <w:rFonts w:ascii="Times New Roman" w:hAnsi="Times New Roman"/>
          <w:sz w:val="24"/>
          <w:szCs w:val="24"/>
        </w:rPr>
        <w:t xml:space="preserve">Morales Ramírez, Dionicio (2007). </w:t>
      </w:r>
      <w:r w:rsidRPr="00271480">
        <w:rPr>
          <w:rFonts w:ascii="Times New Roman" w:hAnsi="Times New Roman"/>
          <w:i/>
          <w:sz w:val="24"/>
          <w:szCs w:val="24"/>
        </w:rPr>
        <w:t>Efectos del cambio de poder en el sector manufacturero en México</w:t>
      </w:r>
      <w:r w:rsidRPr="00271480">
        <w:rPr>
          <w:rFonts w:ascii="Times New Roman" w:hAnsi="Times New Roman"/>
          <w:sz w:val="24"/>
          <w:szCs w:val="24"/>
        </w:rPr>
        <w:t xml:space="preserve">. </w:t>
      </w:r>
      <w:proofErr w:type="spellStart"/>
      <w:r w:rsidRPr="00271480">
        <w:rPr>
          <w:rFonts w:ascii="Times New Roman" w:hAnsi="Times New Roman"/>
          <w:sz w:val="24"/>
          <w:szCs w:val="24"/>
          <w:lang w:val="en-US"/>
        </w:rPr>
        <w:t>Ensayos</w:t>
      </w:r>
      <w:proofErr w:type="spellEnd"/>
      <w:r w:rsidRPr="00271480">
        <w:rPr>
          <w:rFonts w:ascii="Times New Roman" w:hAnsi="Times New Roman"/>
          <w:sz w:val="24"/>
          <w:szCs w:val="24"/>
          <w:lang w:val="en-US"/>
        </w:rPr>
        <w:t>, Vol XXVI, No 2.</w:t>
      </w:r>
    </w:p>
    <w:p w:rsidR="00551A9B" w:rsidRPr="00271480" w:rsidRDefault="00551A9B" w:rsidP="00863D0E">
      <w:pPr>
        <w:spacing w:before="240" w:after="0" w:line="240" w:lineRule="auto"/>
        <w:ind w:firstLine="708"/>
        <w:rPr>
          <w:rFonts w:ascii="Times New Roman" w:hAnsi="Times New Roman"/>
          <w:sz w:val="24"/>
          <w:szCs w:val="24"/>
          <w:lang w:val="en-US"/>
        </w:rPr>
      </w:pPr>
      <w:r w:rsidRPr="00271480">
        <w:rPr>
          <w:rFonts w:ascii="Times New Roman" w:hAnsi="Times New Roman"/>
          <w:sz w:val="24"/>
          <w:szCs w:val="24"/>
          <w:lang w:val="en-US"/>
        </w:rPr>
        <w:t xml:space="preserve">Nordhaus, William D. (1975). </w:t>
      </w:r>
      <w:proofErr w:type="gramStart"/>
      <w:r w:rsidRPr="00271480">
        <w:rPr>
          <w:rFonts w:ascii="Times New Roman" w:hAnsi="Times New Roman"/>
          <w:i/>
          <w:sz w:val="24"/>
          <w:szCs w:val="24"/>
          <w:lang w:val="en-US"/>
        </w:rPr>
        <w:t>The Political Business Cycle.</w:t>
      </w:r>
      <w:proofErr w:type="gramEnd"/>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The Review of Economic Studies.</w:t>
      </w:r>
      <w:proofErr w:type="gramEnd"/>
      <w:r w:rsidRPr="00271480">
        <w:rPr>
          <w:rFonts w:ascii="Times New Roman" w:hAnsi="Times New Roman"/>
          <w:sz w:val="24"/>
          <w:szCs w:val="24"/>
          <w:lang w:val="en-US"/>
        </w:rPr>
        <w:t xml:space="preserve"> Vol 42, </w:t>
      </w:r>
      <w:proofErr w:type="spellStart"/>
      <w:r w:rsidRPr="00271480">
        <w:rPr>
          <w:rFonts w:ascii="Times New Roman" w:hAnsi="Times New Roman"/>
          <w:sz w:val="24"/>
          <w:szCs w:val="24"/>
          <w:lang w:val="en-US"/>
        </w:rPr>
        <w:t>Num</w:t>
      </w:r>
      <w:proofErr w:type="spellEnd"/>
      <w:r w:rsidRPr="00271480">
        <w:rPr>
          <w:rFonts w:ascii="Times New Roman" w:hAnsi="Times New Roman"/>
          <w:sz w:val="24"/>
          <w:szCs w:val="24"/>
          <w:lang w:val="en-US"/>
        </w:rPr>
        <w:t xml:space="preserve"> 2.</w:t>
      </w:r>
    </w:p>
    <w:p w:rsidR="00551A9B" w:rsidRDefault="00551A9B" w:rsidP="00863D0E">
      <w:pPr>
        <w:spacing w:before="240" w:after="0" w:line="240" w:lineRule="auto"/>
        <w:ind w:firstLine="708"/>
        <w:rPr>
          <w:rFonts w:ascii="Times New Roman" w:hAnsi="Times New Roman"/>
          <w:sz w:val="24"/>
          <w:szCs w:val="24"/>
          <w:lang w:val="en-US"/>
        </w:rPr>
      </w:pPr>
      <w:r w:rsidRPr="00271480">
        <w:rPr>
          <w:rFonts w:ascii="Times New Roman" w:hAnsi="Times New Roman"/>
          <w:sz w:val="24"/>
          <w:szCs w:val="24"/>
          <w:lang w:val="en-US"/>
        </w:rPr>
        <w:t xml:space="preserve">Ogura, </w:t>
      </w:r>
      <w:proofErr w:type="spellStart"/>
      <w:r w:rsidRPr="00271480">
        <w:rPr>
          <w:rFonts w:ascii="Times New Roman" w:hAnsi="Times New Roman"/>
          <w:sz w:val="24"/>
          <w:szCs w:val="24"/>
          <w:lang w:val="en-US"/>
        </w:rPr>
        <w:t>Laudo</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Massaharu</w:t>
      </w:r>
      <w:proofErr w:type="spellEnd"/>
      <w:r w:rsidRPr="00271480">
        <w:rPr>
          <w:rFonts w:ascii="Times New Roman" w:hAnsi="Times New Roman"/>
          <w:sz w:val="24"/>
          <w:szCs w:val="24"/>
          <w:lang w:val="en-US"/>
        </w:rPr>
        <w:t xml:space="preserve"> (2000). Political Business Cycles in Brazilian Economics (1980-1999). </w:t>
      </w:r>
      <w:proofErr w:type="gramStart"/>
      <w:r w:rsidRPr="00271480">
        <w:rPr>
          <w:rFonts w:ascii="Times New Roman" w:hAnsi="Times New Roman"/>
          <w:sz w:val="24"/>
          <w:szCs w:val="24"/>
          <w:lang w:val="en-US"/>
        </w:rPr>
        <w:t xml:space="preserve">University of </w:t>
      </w:r>
      <w:proofErr w:type="spellStart"/>
      <w:r w:rsidRPr="00271480">
        <w:rPr>
          <w:rFonts w:ascii="Times New Roman" w:hAnsi="Times New Roman"/>
          <w:sz w:val="24"/>
          <w:szCs w:val="24"/>
          <w:lang w:val="en-US"/>
        </w:rPr>
        <w:t>Brazilia</w:t>
      </w:r>
      <w:proofErr w:type="spellEnd"/>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spellStart"/>
      <w:proofErr w:type="gramStart"/>
      <w:r w:rsidRPr="00271480">
        <w:rPr>
          <w:rFonts w:ascii="Times New Roman" w:hAnsi="Times New Roman"/>
          <w:sz w:val="24"/>
          <w:szCs w:val="24"/>
          <w:lang w:val="en-US"/>
        </w:rPr>
        <w:t>Departament</w:t>
      </w:r>
      <w:proofErr w:type="spellEnd"/>
      <w:r w:rsidRPr="00271480">
        <w:rPr>
          <w:rFonts w:ascii="Times New Roman" w:hAnsi="Times New Roman"/>
          <w:sz w:val="24"/>
          <w:szCs w:val="24"/>
          <w:lang w:val="en-US"/>
        </w:rPr>
        <w:t xml:space="preserve"> of Economics.</w:t>
      </w:r>
      <w:proofErr w:type="gramEnd"/>
    </w:p>
    <w:p w:rsidR="00551A9B" w:rsidRPr="00963D6D" w:rsidRDefault="00551A9B" w:rsidP="00863D0E">
      <w:pPr>
        <w:spacing w:before="240" w:after="0" w:line="240" w:lineRule="auto"/>
        <w:ind w:firstLine="708"/>
        <w:rPr>
          <w:rFonts w:ascii="Times New Roman" w:hAnsi="Times New Roman"/>
          <w:sz w:val="24"/>
          <w:szCs w:val="24"/>
        </w:rPr>
      </w:pPr>
      <w:r w:rsidRPr="00963D6D">
        <w:rPr>
          <w:rFonts w:ascii="Times New Roman" w:hAnsi="Times New Roman"/>
          <w:sz w:val="24"/>
          <w:szCs w:val="24"/>
        </w:rPr>
        <w:t xml:space="preserve">Riesco </w:t>
      </w:r>
      <w:proofErr w:type="spellStart"/>
      <w:r w:rsidRPr="00963D6D">
        <w:rPr>
          <w:rFonts w:ascii="Times New Roman" w:hAnsi="Times New Roman"/>
          <w:sz w:val="24"/>
          <w:szCs w:val="24"/>
        </w:rPr>
        <w:t>Urrejola</w:t>
      </w:r>
      <w:proofErr w:type="spellEnd"/>
      <w:r w:rsidRPr="00963D6D">
        <w:rPr>
          <w:rFonts w:ascii="Times New Roman" w:hAnsi="Times New Roman"/>
          <w:sz w:val="24"/>
          <w:szCs w:val="24"/>
        </w:rPr>
        <w:t xml:space="preserve">, Juan Domingo (2008). </w:t>
      </w:r>
      <w:r w:rsidRPr="00963D6D">
        <w:rPr>
          <w:rFonts w:ascii="Times New Roman" w:hAnsi="Times New Roman"/>
          <w:sz w:val="24"/>
          <w:szCs w:val="24"/>
          <w:u w:val="single"/>
        </w:rPr>
        <w:t xml:space="preserve">El Ciclo Político Económico Oportunista: El </w:t>
      </w:r>
      <w:proofErr w:type="spellStart"/>
      <w:r w:rsidRPr="00963D6D">
        <w:rPr>
          <w:rFonts w:ascii="Times New Roman" w:hAnsi="Times New Roman"/>
          <w:sz w:val="24"/>
          <w:szCs w:val="24"/>
          <w:u w:val="single"/>
        </w:rPr>
        <w:t>Ccaso</w:t>
      </w:r>
      <w:proofErr w:type="spellEnd"/>
      <w:r w:rsidRPr="00963D6D">
        <w:rPr>
          <w:rFonts w:ascii="Times New Roman" w:hAnsi="Times New Roman"/>
          <w:sz w:val="24"/>
          <w:szCs w:val="24"/>
          <w:u w:val="single"/>
        </w:rPr>
        <w:t xml:space="preserve"> de Sudamérica</w:t>
      </w:r>
      <w:r>
        <w:rPr>
          <w:rFonts w:ascii="Times New Roman" w:hAnsi="Times New Roman"/>
          <w:sz w:val="24"/>
          <w:szCs w:val="24"/>
        </w:rPr>
        <w:t>. Tesis de Grado Magister en Economía. Pontificia Universidad Católica de Chile. Instituto de Economía.</w:t>
      </w:r>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r w:rsidRPr="00271480">
        <w:rPr>
          <w:rFonts w:ascii="Times New Roman" w:hAnsi="Times New Roman"/>
          <w:sz w:val="24"/>
          <w:szCs w:val="24"/>
          <w:lang w:val="en-US"/>
        </w:rPr>
        <w:t>Schuknecht</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Ludger</w:t>
      </w:r>
      <w:proofErr w:type="spellEnd"/>
      <w:r w:rsidRPr="00271480">
        <w:rPr>
          <w:rFonts w:ascii="Times New Roman" w:hAnsi="Times New Roman"/>
          <w:sz w:val="24"/>
          <w:szCs w:val="24"/>
          <w:lang w:val="en-US"/>
        </w:rPr>
        <w:t xml:space="preserve"> (1996). </w:t>
      </w:r>
      <w:proofErr w:type="gramStart"/>
      <w:r w:rsidRPr="00271480">
        <w:rPr>
          <w:rFonts w:ascii="Times New Roman" w:hAnsi="Times New Roman"/>
          <w:i/>
          <w:iCs/>
          <w:sz w:val="24"/>
          <w:szCs w:val="24"/>
          <w:lang w:val="en-US"/>
        </w:rPr>
        <w:t>Political Business Cycles and Fiscal Policies in Developing Countries</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Kyklos</w:t>
      </w:r>
      <w:proofErr w:type="spellEnd"/>
      <w:r w:rsidRPr="00271480">
        <w:rPr>
          <w:rFonts w:ascii="Times New Roman" w:hAnsi="Times New Roman"/>
          <w:sz w:val="24"/>
          <w:szCs w:val="24"/>
          <w:lang w:val="en-US"/>
        </w:rPr>
        <w:t>, 49 (2), pp. 155-170).</w:t>
      </w:r>
    </w:p>
    <w:p w:rsidR="00551A9B" w:rsidRPr="00271480" w:rsidRDefault="00551A9B" w:rsidP="00863D0E">
      <w:pPr>
        <w:spacing w:before="240" w:after="0" w:line="240" w:lineRule="auto"/>
        <w:ind w:firstLine="708"/>
        <w:rPr>
          <w:rFonts w:ascii="Times New Roman" w:hAnsi="Times New Roman"/>
          <w:sz w:val="24"/>
          <w:szCs w:val="24"/>
          <w:lang w:val="en-US"/>
        </w:rPr>
      </w:pPr>
      <w:proofErr w:type="spellStart"/>
      <w:r w:rsidRPr="00271480">
        <w:rPr>
          <w:rFonts w:ascii="Times New Roman" w:hAnsi="Times New Roman"/>
          <w:sz w:val="24"/>
          <w:szCs w:val="24"/>
          <w:lang w:val="en-US"/>
        </w:rPr>
        <w:t>Schuknecht</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Ludger</w:t>
      </w:r>
      <w:proofErr w:type="spellEnd"/>
      <w:r w:rsidRPr="00271480">
        <w:rPr>
          <w:rFonts w:ascii="Times New Roman" w:hAnsi="Times New Roman"/>
          <w:sz w:val="24"/>
          <w:szCs w:val="24"/>
          <w:lang w:val="en-US"/>
        </w:rPr>
        <w:t xml:space="preserve"> (2000). </w:t>
      </w:r>
      <w:proofErr w:type="gramStart"/>
      <w:r w:rsidRPr="00271480">
        <w:rPr>
          <w:rFonts w:ascii="Times New Roman" w:hAnsi="Times New Roman"/>
          <w:i/>
          <w:iCs/>
          <w:sz w:val="24"/>
          <w:szCs w:val="24"/>
          <w:lang w:val="en-US"/>
        </w:rPr>
        <w:t>Fiscal Policy Cycles and Public Expenditure in Developing</w:t>
      </w:r>
      <w:r w:rsidRPr="00271480">
        <w:rPr>
          <w:rFonts w:ascii="Times New Roman" w:hAnsi="Times New Roman"/>
          <w:sz w:val="24"/>
          <w:szCs w:val="24"/>
          <w:lang w:val="en-US"/>
        </w:rPr>
        <w:t xml:space="preserve"> </w:t>
      </w:r>
      <w:r w:rsidRPr="00271480">
        <w:rPr>
          <w:rFonts w:ascii="Times New Roman" w:hAnsi="Times New Roman"/>
          <w:i/>
          <w:iCs/>
          <w:sz w:val="24"/>
          <w:szCs w:val="24"/>
          <w:lang w:val="en-US"/>
        </w:rPr>
        <w:t>Countries</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Public Choice.</w:t>
      </w:r>
      <w:proofErr w:type="gramEnd"/>
      <w:r w:rsidRPr="00271480">
        <w:rPr>
          <w:rFonts w:ascii="Times New Roman" w:hAnsi="Times New Roman"/>
          <w:sz w:val="24"/>
          <w:szCs w:val="24"/>
          <w:lang w:val="en-US"/>
        </w:rPr>
        <w:t xml:space="preserve"> 102</w:t>
      </w:r>
      <w:proofErr w:type="gramStart"/>
      <w:r w:rsidRPr="00271480">
        <w:rPr>
          <w:rFonts w:ascii="Times New Roman" w:hAnsi="Times New Roman"/>
          <w:sz w:val="24"/>
          <w:szCs w:val="24"/>
          <w:lang w:val="en-US"/>
        </w:rPr>
        <w:t>,  pp</w:t>
      </w:r>
      <w:proofErr w:type="gramEnd"/>
      <w:r w:rsidRPr="00271480">
        <w:rPr>
          <w:rFonts w:ascii="Times New Roman" w:hAnsi="Times New Roman"/>
          <w:sz w:val="24"/>
          <w:szCs w:val="24"/>
          <w:lang w:val="en-US"/>
        </w:rPr>
        <w:t>. 115-130.</w:t>
      </w:r>
    </w:p>
    <w:p w:rsidR="00551A9B" w:rsidRPr="00271480" w:rsidRDefault="00551A9B" w:rsidP="00863D0E">
      <w:pPr>
        <w:spacing w:before="240" w:after="0" w:line="240" w:lineRule="auto"/>
        <w:ind w:firstLine="708"/>
        <w:rPr>
          <w:rFonts w:ascii="Times New Roman" w:hAnsi="Times New Roman"/>
          <w:sz w:val="24"/>
          <w:szCs w:val="24"/>
          <w:lang w:val="en-US"/>
        </w:rPr>
      </w:pPr>
      <w:proofErr w:type="gramStart"/>
      <w:r w:rsidRPr="00271480">
        <w:rPr>
          <w:rFonts w:ascii="Times New Roman" w:hAnsi="Times New Roman"/>
          <w:sz w:val="24"/>
          <w:szCs w:val="24"/>
          <w:lang w:val="en-US"/>
        </w:rPr>
        <w:t xml:space="preserve">Shi, Min y </w:t>
      </w:r>
      <w:proofErr w:type="spellStart"/>
      <w:r w:rsidRPr="00271480">
        <w:rPr>
          <w:rFonts w:ascii="Times New Roman" w:hAnsi="Times New Roman"/>
          <w:sz w:val="24"/>
          <w:szCs w:val="24"/>
          <w:lang w:val="en-US"/>
        </w:rPr>
        <w:t>Jakob</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Svensson</w:t>
      </w:r>
      <w:proofErr w:type="spellEnd"/>
      <w:r w:rsidRPr="00271480">
        <w:rPr>
          <w:rFonts w:ascii="Times New Roman" w:hAnsi="Times New Roman"/>
          <w:sz w:val="24"/>
          <w:szCs w:val="24"/>
          <w:lang w:val="en-US"/>
        </w:rPr>
        <w:t xml:space="preserve"> (2002).</w:t>
      </w:r>
      <w:proofErr w:type="gramEnd"/>
      <w:r w:rsidRPr="00271480">
        <w:rPr>
          <w:rFonts w:ascii="Times New Roman" w:hAnsi="Times New Roman"/>
          <w:sz w:val="24"/>
          <w:szCs w:val="24"/>
          <w:lang w:val="en-US"/>
        </w:rPr>
        <w:t xml:space="preserve"> </w:t>
      </w:r>
      <w:proofErr w:type="gramStart"/>
      <w:r w:rsidRPr="00271480">
        <w:rPr>
          <w:rFonts w:ascii="Times New Roman" w:hAnsi="Times New Roman"/>
          <w:i/>
          <w:iCs/>
          <w:sz w:val="24"/>
          <w:szCs w:val="24"/>
          <w:lang w:val="en-US"/>
        </w:rPr>
        <w:t>Political Budget Cycles in Developed and Developing Countries</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Institute for International Economic Studies. </w:t>
      </w:r>
      <w:proofErr w:type="gramStart"/>
      <w:r w:rsidRPr="00271480">
        <w:rPr>
          <w:rFonts w:ascii="Times New Roman" w:hAnsi="Times New Roman"/>
          <w:sz w:val="24"/>
          <w:szCs w:val="24"/>
          <w:lang w:val="en-US"/>
        </w:rPr>
        <w:t>Stockholm University.</w:t>
      </w:r>
      <w:proofErr w:type="gramEnd"/>
    </w:p>
    <w:p w:rsidR="00551A9B" w:rsidRPr="00271480" w:rsidRDefault="00551A9B" w:rsidP="00863D0E">
      <w:pPr>
        <w:spacing w:before="240" w:after="0" w:line="240" w:lineRule="auto"/>
        <w:ind w:firstLine="708"/>
        <w:rPr>
          <w:rFonts w:ascii="Times New Roman" w:hAnsi="Times New Roman"/>
          <w:sz w:val="24"/>
          <w:szCs w:val="24"/>
          <w:lang w:val="en-US"/>
        </w:rPr>
      </w:pPr>
      <w:proofErr w:type="gramStart"/>
      <w:r w:rsidRPr="00271480">
        <w:rPr>
          <w:rFonts w:ascii="Times New Roman" w:hAnsi="Times New Roman"/>
          <w:sz w:val="24"/>
          <w:szCs w:val="24"/>
          <w:lang w:val="en-US"/>
        </w:rPr>
        <w:t xml:space="preserve">Shi, Min y </w:t>
      </w:r>
      <w:proofErr w:type="spellStart"/>
      <w:r w:rsidRPr="00271480">
        <w:rPr>
          <w:rFonts w:ascii="Times New Roman" w:hAnsi="Times New Roman"/>
          <w:sz w:val="24"/>
          <w:szCs w:val="24"/>
          <w:lang w:val="en-US"/>
        </w:rPr>
        <w:t>Jakob</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Svensson</w:t>
      </w:r>
      <w:proofErr w:type="spellEnd"/>
      <w:r w:rsidRPr="00271480">
        <w:rPr>
          <w:rFonts w:ascii="Times New Roman" w:hAnsi="Times New Roman"/>
          <w:sz w:val="24"/>
          <w:szCs w:val="24"/>
          <w:lang w:val="en-US"/>
        </w:rPr>
        <w:t xml:space="preserve"> (2003).</w:t>
      </w:r>
      <w:proofErr w:type="gramEnd"/>
      <w:r w:rsidRPr="00271480">
        <w:rPr>
          <w:rFonts w:ascii="Times New Roman" w:hAnsi="Times New Roman"/>
          <w:sz w:val="24"/>
          <w:szCs w:val="24"/>
          <w:lang w:val="en-US"/>
        </w:rPr>
        <w:t xml:space="preserve"> </w:t>
      </w:r>
      <w:r w:rsidRPr="00271480">
        <w:rPr>
          <w:rFonts w:ascii="Times New Roman" w:hAnsi="Times New Roman"/>
          <w:i/>
          <w:iCs/>
          <w:sz w:val="24"/>
          <w:szCs w:val="24"/>
          <w:lang w:val="en-US"/>
        </w:rPr>
        <w:t>Political Budget Cycles: A Review of Recent Developments</w:t>
      </w:r>
      <w:r w:rsidRPr="00271480">
        <w:rPr>
          <w:rFonts w:ascii="Times New Roman" w:hAnsi="Times New Roman"/>
          <w:sz w:val="24"/>
          <w:szCs w:val="24"/>
          <w:lang w:val="en-US"/>
        </w:rPr>
        <w:t xml:space="preserve">. Institute for International Economic Studies. </w:t>
      </w:r>
      <w:proofErr w:type="gramStart"/>
      <w:r w:rsidRPr="00271480">
        <w:rPr>
          <w:rFonts w:ascii="Times New Roman" w:hAnsi="Times New Roman"/>
          <w:sz w:val="24"/>
          <w:szCs w:val="24"/>
          <w:lang w:val="en-US"/>
        </w:rPr>
        <w:t>Stockholm University.</w:t>
      </w:r>
      <w:proofErr w:type="gramEnd"/>
    </w:p>
    <w:p w:rsidR="00551A9B" w:rsidRPr="00271480" w:rsidRDefault="00551A9B" w:rsidP="00863D0E">
      <w:pPr>
        <w:spacing w:before="240" w:after="0" w:line="240" w:lineRule="auto"/>
        <w:ind w:firstLine="708"/>
        <w:rPr>
          <w:rFonts w:ascii="Times New Roman" w:hAnsi="Times New Roman"/>
          <w:sz w:val="24"/>
          <w:szCs w:val="24"/>
          <w:lang w:val="en-US"/>
        </w:rPr>
      </w:pPr>
      <w:proofErr w:type="gramStart"/>
      <w:r w:rsidRPr="00271480">
        <w:rPr>
          <w:rFonts w:ascii="Times New Roman" w:hAnsi="Times New Roman"/>
          <w:sz w:val="24"/>
          <w:szCs w:val="24"/>
          <w:lang w:val="en-US"/>
        </w:rPr>
        <w:lastRenderedPageBreak/>
        <w:t xml:space="preserve">Shi, Min y </w:t>
      </w:r>
      <w:proofErr w:type="spellStart"/>
      <w:r w:rsidRPr="00271480">
        <w:rPr>
          <w:rFonts w:ascii="Times New Roman" w:hAnsi="Times New Roman"/>
          <w:sz w:val="24"/>
          <w:szCs w:val="24"/>
          <w:lang w:val="en-US"/>
        </w:rPr>
        <w:t>Jakob</w:t>
      </w:r>
      <w:proofErr w:type="spellEnd"/>
      <w:r w:rsidRPr="00271480">
        <w:rPr>
          <w:rFonts w:ascii="Times New Roman" w:hAnsi="Times New Roman"/>
          <w:sz w:val="24"/>
          <w:szCs w:val="24"/>
          <w:lang w:val="en-US"/>
        </w:rPr>
        <w:t xml:space="preserve"> </w:t>
      </w:r>
      <w:proofErr w:type="spellStart"/>
      <w:r w:rsidRPr="00271480">
        <w:rPr>
          <w:rFonts w:ascii="Times New Roman" w:hAnsi="Times New Roman"/>
          <w:sz w:val="24"/>
          <w:szCs w:val="24"/>
          <w:lang w:val="en-US"/>
        </w:rPr>
        <w:t>Svensson</w:t>
      </w:r>
      <w:proofErr w:type="spellEnd"/>
      <w:r w:rsidRPr="00271480">
        <w:rPr>
          <w:rFonts w:ascii="Times New Roman" w:hAnsi="Times New Roman"/>
          <w:sz w:val="24"/>
          <w:szCs w:val="24"/>
          <w:lang w:val="en-US"/>
        </w:rPr>
        <w:t xml:space="preserve"> (2006).</w:t>
      </w:r>
      <w:proofErr w:type="gramEnd"/>
      <w:r w:rsidRPr="00271480">
        <w:rPr>
          <w:rFonts w:ascii="Times New Roman" w:hAnsi="Times New Roman"/>
          <w:sz w:val="24"/>
          <w:szCs w:val="24"/>
          <w:lang w:val="en-US"/>
        </w:rPr>
        <w:t xml:space="preserve"> </w:t>
      </w:r>
      <w:r w:rsidRPr="00271480">
        <w:rPr>
          <w:rFonts w:ascii="Times New Roman" w:hAnsi="Times New Roman"/>
          <w:i/>
          <w:iCs/>
          <w:sz w:val="24"/>
          <w:szCs w:val="24"/>
          <w:lang w:val="en-US"/>
        </w:rPr>
        <w:t>Political Budget Cycles: Do they differ across countries and why</w:t>
      </w:r>
      <w:proofErr w:type="gramStart"/>
      <w:r w:rsidRPr="00271480">
        <w:rPr>
          <w:rFonts w:ascii="Times New Roman" w:hAnsi="Times New Roman"/>
          <w:i/>
          <w:iCs/>
          <w:sz w:val="24"/>
          <w:szCs w:val="24"/>
          <w:lang w:val="en-US"/>
        </w:rPr>
        <w:t>?</w:t>
      </w:r>
      <w:r w:rsidRPr="00271480">
        <w:rPr>
          <w:rFonts w:ascii="Times New Roman" w:hAnsi="Times New Roman"/>
          <w:sz w:val="24"/>
          <w:szCs w:val="24"/>
          <w:lang w:val="en-US"/>
        </w:rPr>
        <w:t>.</w:t>
      </w:r>
      <w:proofErr w:type="gramEnd"/>
      <w:r w:rsidRPr="00271480">
        <w:rPr>
          <w:rFonts w:ascii="Times New Roman" w:hAnsi="Times New Roman"/>
          <w:sz w:val="24"/>
          <w:szCs w:val="24"/>
          <w:lang w:val="en-US"/>
        </w:rPr>
        <w:t xml:space="preserve"> </w:t>
      </w:r>
      <w:proofErr w:type="gramStart"/>
      <w:r w:rsidRPr="00271480">
        <w:rPr>
          <w:rFonts w:ascii="Times New Roman" w:hAnsi="Times New Roman"/>
          <w:sz w:val="24"/>
          <w:szCs w:val="24"/>
          <w:lang w:val="en-US"/>
        </w:rPr>
        <w:t>Journal of Public Economics.</w:t>
      </w:r>
      <w:proofErr w:type="gramEnd"/>
      <w:r w:rsidRPr="00271480">
        <w:rPr>
          <w:rFonts w:ascii="Times New Roman" w:hAnsi="Times New Roman"/>
          <w:sz w:val="24"/>
          <w:szCs w:val="24"/>
          <w:lang w:val="en-US"/>
        </w:rPr>
        <w:t xml:space="preserve"> 90, pp 1367-1389. </w:t>
      </w:r>
    </w:p>
    <w:p w:rsidR="00551A9B" w:rsidRPr="00271480" w:rsidRDefault="00551A9B" w:rsidP="00863D0E">
      <w:pPr>
        <w:spacing w:before="240" w:after="0" w:line="240" w:lineRule="auto"/>
        <w:rPr>
          <w:rFonts w:ascii="Times New Roman" w:hAnsi="Times New Roman"/>
          <w:sz w:val="24"/>
          <w:szCs w:val="24"/>
        </w:rPr>
      </w:pPr>
    </w:p>
    <w:p w:rsidR="00CB5F28" w:rsidRDefault="00CB5F28" w:rsidP="00863D0E">
      <w:pPr>
        <w:spacing w:before="240" w:line="240" w:lineRule="auto"/>
        <w:rPr>
          <w:rFonts w:ascii="Times New Roman" w:hAnsi="Times New Roman" w:cs="Times New Roman"/>
          <w:sz w:val="24"/>
          <w:szCs w:val="24"/>
        </w:rPr>
      </w:pPr>
    </w:p>
    <w:p w:rsidR="00CB5F28" w:rsidRDefault="00CB5F28" w:rsidP="00863D0E">
      <w:pPr>
        <w:spacing w:before="240" w:line="240" w:lineRule="auto"/>
        <w:rPr>
          <w:rFonts w:ascii="Times New Roman" w:hAnsi="Times New Roman" w:cs="Times New Roman"/>
          <w:sz w:val="24"/>
          <w:szCs w:val="24"/>
        </w:rPr>
      </w:pPr>
    </w:p>
    <w:p w:rsidR="00CB5F28" w:rsidRDefault="00CB5F28" w:rsidP="00863D0E">
      <w:pPr>
        <w:spacing w:before="240" w:line="240" w:lineRule="auto"/>
        <w:rPr>
          <w:rFonts w:ascii="Times New Roman" w:hAnsi="Times New Roman" w:cs="Times New Roman"/>
          <w:sz w:val="24"/>
          <w:szCs w:val="24"/>
        </w:rPr>
      </w:pPr>
    </w:p>
    <w:p w:rsidR="00CB5F28" w:rsidRPr="00CB5F28" w:rsidRDefault="00CB5F28" w:rsidP="00863D0E">
      <w:pPr>
        <w:spacing w:before="240" w:line="240" w:lineRule="auto"/>
        <w:rPr>
          <w:rFonts w:ascii="Times New Roman" w:hAnsi="Times New Roman" w:cs="Times New Roman"/>
          <w:sz w:val="24"/>
          <w:szCs w:val="24"/>
        </w:rPr>
      </w:pPr>
    </w:p>
    <w:sectPr w:rsidR="00CB5F28" w:rsidRPr="00CB5F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38" w:rsidRDefault="00B77938" w:rsidP="005D2075">
      <w:pPr>
        <w:spacing w:after="0" w:line="240" w:lineRule="auto"/>
      </w:pPr>
      <w:r>
        <w:separator/>
      </w:r>
    </w:p>
  </w:endnote>
  <w:endnote w:type="continuationSeparator" w:id="0">
    <w:p w:rsidR="00B77938" w:rsidRDefault="00B77938" w:rsidP="005D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38" w:rsidRDefault="00B77938" w:rsidP="005D2075">
      <w:pPr>
        <w:spacing w:after="0" w:line="240" w:lineRule="auto"/>
      </w:pPr>
      <w:r>
        <w:separator/>
      </w:r>
    </w:p>
  </w:footnote>
  <w:footnote w:type="continuationSeparator" w:id="0">
    <w:p w:rsidR="00B77938" w:rsidRDefault="00B77938" w:rsidP="005D2075">
      <w:pPr>
        <w:spacing w:after="0" w:line="240" w:lineRule="auto"/>
      </w:pPr>
      <w:r>
        <w:continuationSeparator/>
      </w:r>
    </w:p>
  </w:footnote>
  <w:footnote w:id="1">
    <w:p w:rsidR="00C73FB9" w:rsidRDefault="00C73FB9" w:rsidP="008638CC">
      <w:pPr>
        <w:pStyle w:val="Textonotapie"/>
      </w:pPr>
      <w:r>
        <w:rPr>
          <w:rStyle w:val="Refdenotaalpie"/>
        </w:rPr>
        <w:footnoteRef/>
      </w:r>
      <w:r>
        <w:t xml:space="preserve"> Profesor titular en la Facultad de Economía y Mercadotecnia en la Facultad de Economía de la Universidad Autónoma de Coahuila. Actualmente estudia el Doctorado en Ciencias Económicas de la Universidad Autónoma de Nuevo León. </w:t>
      </w:r>
      <w:hyperlink r:id="rId1" w:history="1">
        <w:r w:rsidRPr="004B54DC">
          <w:rPr>
            <w:rStyle w:val="Hipervnculo"/>
          </w:rPr>
          <w:t>acxel.amarillas@uadec.edu.mx</w:t>
        </w:r>
      </w:hyperlink>
    </w:p>
  </w:footnote>
  <w:footnote w:id="2">
    <w:p w:rsidR="00C73FB9" w:rsidRDefault="00C73FB9" w:rsidP="008638CC">
      <w:pPr>
        <w:pStyle w:val="Textonotapie"/>
        <w:ind w:left="0" w:firstLine="0"/>
      </w:pPr>
      <w:r>
        <w:rPr>
          <w:rStyle w:val="Refdenotaalpie"/>
        </w:rPr>
        <w:footnoteRef/>
      </w:r>
      <w:r>
        <w:t xml:space="preserve"> Profesor titular en la Facultad de Economía de la Universidad Autónoma de Nuevo León.  </w:t>
      </w:r>
      <w:hyperlink r:id="rId2" w:history="1">
        <w:r w:rsidRPr="00006FF7">
          <w:rPr>
            <w:rStyle w:val="Hipervnculo"/>
          </w:rPr>
          <w:t>cesareo.gamezgr@uanl.edu.mx</w:t>
        </w:r>
      </w:hyperlink>
      <w:r>
        <w:t xml:space="preserve"> </w:t>
      </w:r>
    </w:p>
    <w:p w:rsidR="00C73FB9" w:rsidRDefault="00C73FB9">
      <w:pPr>
        <w:pStyle w:val="Textonotapie"/>
      </w:pPr>
    </w:p>
    <w:p w:rsidR="00C73FB9" w:rsidRDefault="00C73FB9">
      <w:pPr>
        <w:pStyle w:val="Textonotapie"/>
      </w:pPr>
    </w:p>
  </w:footnote>
  <w:footnote w:id="3">
    <w:p w:rsidR="00C73FB9" w:rsidRPr="003C1598" w:rsidRDefault="00C73FB9" w:rsidP="00B07068">
      <w:pPr>
        <w:pStyle w:val="Textonotapie"/>
      </w:pPr>
      <w:r>
        <w:rPr>
          <w:rStyle w:val="Refdenotaalpie"/>
        </w:rPr>
        <w:footnoteRef/>
      </w:r>
      <w:r>
        <w:t xml:space="preserve"> Se transforman los valores del Rendimiento Anormal de una distribución </w:t>
      </w:r>
      <m:oMath>
        <m:r>
          <w:rPr>
            <w:rFonts w:ascii="Cambria Math" w:hAnsi="Cambria Math"/>
          </w:rPr>
          <m:t>N</m:t>
        </m:r>
        <m:d>
          <m:dPr>
            <m:ctrlPr>
              <w:rPr>
                <w:rFonts w:ascii="Cambria Math" w:hAnsi="Cambria Math"/>
                <w:i/>
              </w:rPr>
            </m:ctrlPr>
          </m:dPr>
          <m:e>
            <m:r>
              <w:rPr>
                <w:rFonts w:ascii="Cambria Math" w:hAnsi="Cambria Math"/>
              </w:rPr>
              <m:t>μ,σ</m:t>
            </m:r>
          </m:e>
        </m:d>
      </m:oMath>
      <w:r>
        <w:t xml:space="preserve"> a una distribución </w:t>
      </w:r>
      <m:oMath>
        <m:r>
          <w:rPr>
            <w:rFonts w:ascii="Cambria Math" w:hAnsi="Cambria Math"/>
          </w:rPr>
          <m:t>N</m:t>
        </m:r>
        <m:d>
          <m:dPr>
            <m:ctrlPr>
              <w:rPr>
                <w:rFonts w:ascii="Cambria Math" w:hAnsi="Cambria Math"/>
                <w:i/>
              </w:rPr>
            </m:ctrlPr>
          </m:dPr>
          <m:e>
            <m:r>
              <w:rPr>
                <w:rFonts w:ascii="Cambria Math" w:hAnsi="Cambria Math"/>
              </w:rPr>
              <m:t>0,1</m:t>
            </m:r>
          </m:e>
        </m:d>
      </m:oMath>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B1A1B"/>
    <w:multiLevelType w:val="hybridMultilevel"/>
    <w:tmpl w:val="62EA1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28"/>
    <w:rsid w:val="00056598"/>
    <w:rsid w:val="000749BF"/>
    <w:rsid w:val="000A4EE7"/>
    <w:rsid w:val="000B4776"/>
    <w:rsid w:val="0011538D"/>
    <w:rsid w:val="00127BFD"/>
    <w:rsid w:val="001C1227"/>
    <w:rsid w:val="001F2BAC"/>
    <w:rsid w:val="001F2E25"/>
    <w:rsid w:val="002106DB"/>
    <w:rsid w:val="0021342E"/>
    <w:rsid w:val="002348FE"/>
    <w:rsid w:val="003210D4"/>
    <w:rsid w:val="003554E0"/>
    <w:rsid w:val="00361B04"/>
    <w:rsid w:val="00442F82"/>
    <w:rsid w:val="00447099"/>
    <w:rsid w:val="004A4F0D"/>
    <w:rsid w:val="004C21AC"/>
    <w:rsid w:val="004C5375"/>
    <w:rsid w:val="00551A9B"/>
    <w:rsid w:val="00554621"/>
    <w:rsid w:val="005D2075"/>
    <w:rsid w:val="00611280"/>
    <w:rsid w:val="00611D1E"/>
    <w:rsid w:val="00622B18"/>
    <w:rsid w:val="00634BBC"/>
    <w:rsid w:val="00634F0F"/>
    <w:rsid w:val="006954AE"/>
    <w:rsid w:val="006A46FC"/>
    <w:rsid w:val="006B2E07"/>
    <w:rsid w:val="006D017A"/>
    <w:rsid w:val="006F5C4D"/>
    <w:rsid w:val="00734892"/>
    <w:rsid w:val="00746D7B"/>
    <w:rsid w:val="007D15D2"/>
    <w:rsid w:val="007D493A"/>
    <w:rsid w:val="008068D2"/>
    <w:rsid w:val="008123B2"/>
    <w:rsid w:val="00834982"/>
    <w:rsid w:val="008638CC"/>
    <w:rsid w:val="00863D0E"/>
    <w:rsid w:val="008D65DD"/>
    <w:rsid w:val="008D767B"/>
    <w:rsid w:val="008E0EC5"/>
    <w:rsid w:val="0092083A"/>
    <w:rsid w:val="00944D12"/>
    <w:rsid w:val="0094759F"/>
    <w:rsid w:val="00A032F3"/>
    <w:rsid w:val="00A062CC"/>
    <w:rsid w:val="00B07068"/>
    <w:rsid w:val="00B61ABC"/>
    <w:rsid w:val="00B656CB"/>
    <w:rsid w:val="00B65DC2"/>
    <w:rsid w:val="00B77938"/>
    <w:rsid w:val="00B8167C"/>
    <w:rsid w:val="00C73FB9"/>
    <w:rsid w:val="00C812CC"/>
    <w:rsid w:val="00C95A8D"/>
    <w:rsid w:val="00C96D5C"/>
    <w:rsid w:val="00CB5F28"/>
    <w:rsid w:val="00CC21C6"/>
    <w:rsid w:val="00CD10AA"/>
    <w:rsid w:val="00CD5784"/>
    <w:rsid w:val="00D11DE7"/>
    <w:rsid w:val="00D42C24"/>
    <w:rsid w:val="00D959BF"/>
    <w:rsid w:val="00DB31EF"/>
    <w:rsid w:val="00DC0243"/>
    <w:rsid w:val="00DC37C2"/>
    <w:rsid w:val="00DF467B"/>
    <w:rsid w:val="00E71B99"/>
    <w:rsid w:val="00E843A4"/>
    <w:rsid w:val="00ED323A"/>
    <w:rsid w:val="00EF49CD"/>
    <w:rsid w:val="00F0622F"/>
    <w:rsid w:val="00F178ED"/>
    <w:rsid w:val="00F3202F"/>
    <w:rsid w:val="00F62C22"/>
    <w:rsid w:val="00F96186"/>
    <w:rsid w:val="00FF7D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uiPriority w:val="9"/>
    <w:semiHidden/>
    <w:unhideWhenUsed/>
    <w:qFormat/>
    <w:rsid w:val="005D2075"/>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5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F28"/>
    <w:rPr>
      <w:rFonts w:ascii="Tahoma" w:hAnsi="Tahoma" w:cs="Tahoma"/>
      <w:sz w:val="16"/>
      <w:szCs w:val="16"/>
    </w:rPr>
  </w:style>
  <w:style w:type="character" w:customStyle="1" w:styleId="Ttulo5Car">
    <w:name w:val="Título 5 Car"/>
    <w:basedOn w:val="Fuentedeprrafopredeter"/>
    <w:link w:val="Ttulo5"/>
    <w:uiPriority w:val="9"/>
    <w:semiHidden/>
    <w:rsid w:val="005D2075"/>
    <w:rPr>
      <w:rFonts w:ascii="Calibri" w:eastAsia="Times New Roman" w:hAnsi="Calibri" w:cs="Times New Roman"/>
      <w:b/>
      <w:bCs/>
      <w:i/>
      <w:iCs/>
      <w:sz w:val="26"/>
      <w:szCs w:val="26"/>
    </w:rPr>
  </w:style>
  <w:style w:type="paragraph" w:styleId="Sangradetextonormal">
    <w:name w:val="Body Text Indent"/>
    <w:basedOn w:val="Normal"/>
    <w:link w:val="SangradetextonormalCar"/>
    <w:rsid w:val="005D207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D207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D2075"/>
    <w:pPr>
      <w:spacing w:after="120"/>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5D2075"/>
    <w:rPr>
      <w:rFonts w:ascii="Calibri" w:eastAsia="Calibri" w:hAnsi="Calibri" w:cs="Times New Roman"/>
      <w:sz w:val="16"/>
      <w:szCs w:val="16"/>
    </w:rPr>
  </w:style>
  <w:style w:type="paragraph" w:styleId="Textoindependiente2">
    <w:name w:val="Body Text 2"/>
    <w:basedOn w:val="Normal"/>
    <w:link w:val="Textoindependiente2Car"/>
    <w:rsid w:val="005D207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D2075"/>
    <w:rPr>
      <w:rFonts w:ascii="Times New Roman" w:eastAsia="Times New Roman" w:hAnsi="Times New Roman" w:cs="Times New Roman"/>
      <w:sz w:val="24"/>
      <w:szCs w:val="24"/>
      <w:lang w:val="es-ES" w:eastAsia="es-ES"/>
    </w:rPr>
  </w:style>
  <w:style w:type="character" w:styleId="Refdenotaalpie">
    <w:name w:val="footnote reference"/>
    <w:uiPriority w:val="99"/>
    <w:rsid w:val="005D2075"/>
    <w:rPr>
      <w:vertAlign w:val="superscript"/>
    </w:rPr>
  </w:style>
  <w:style w:type="paragraph" w:styleId="Textonotapie">
    <w:name w:val="footnote text"/>
    <w:basedOn w:val="Normal"/>
    <w:link w:val="TextonotapieCar"/>
    <w:rsid w:val="005D2075"/>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xtonotapieCar">
    <w:name w:val="Texto nota pie Car"/>
    <w:basedOn w:val="Fuentedeprrafopredeter"/>
    <w:link w:val="Textonotapie"/>
    <w:rsid w:val="005D2075"/>
    <w:rPr>
      <w:rFonts w:ascii="Times New Roman" w:eastAsia="SimSun" w:hAnsi="Times New Roman" w:cs="Mangal"/>
      <w:kern w:val="1"/>
      <w:sz w:val="20"/>
      <w:szCs w:val="20"/>
      <w:lang w:eastAsia="hi-IN" w:bidi="hi-IN"/>
    </w:rPr>
  </w:style>
  <w:style w:type="paragraph" w:customStyle="1" w:styleId="Sangra3detindependiente1">
    <w:name w:val="Sangría 3 de t. independiente1"/>
    <w:basedOn w:val="Normal"/>
    <w:rsid w:val="005D2075"/>
    <w:pPr>
      <w:widowControl w:val="0"/>
      <w:suppressAutoHyphens/>
      <w:spacing w:after="0" w:line="480" w:lineRule="auto"/>
      <w:ind w:firstLine="708"/>
      <w:jc w:val="both"/>
    </w:pPr>
    <w:rPr>
      <w:rFonts w:ascii="Times New Roman" w:eastAsia="SimSun" w:hAnsi="Times New Roman" w:cs="Mangal"/>
      <w:kern w:val="1"/>
      <w:sz w:val="24"/>
      <w:szCs w:val="24"/>
      <w:lang w:eastAsia="hi-IN" w:bidi="hi-IN"/>
    </w:rPr>
  </w:style>
  <w:style w:type="paragraph" w:styleId="Prrafodelista">
    <w:name w:val="List Paragraph"/>
    <w:basedOn w:val="Normal"/>
    <w:uiPriority w:val="34"/>
    <w:qFormat/>
    <w:rsid w:val="00B07068"/>
    <w:pPr>
      <w:spacing w:after="160" w:line="259" w:lineRule="auto"/>
      <w:ind w:left="720"/>
      <w:contextualSpacing/>
    </w:pPr>
  </w:style>
  <w:style w:type="table" w:customStyle="1" w:styleId="Tabladecuadrcula1clara1">
    <w:name w:val="Tabla de cuadrícula 1 clara1"/>
    <w:basedOn w:val="Tablanormal"/>
    <w:uiPriority w:val="46"/>
    <w:rsid w:val="00B070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8638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uiPriority w:val="9"/>
    <w:semiHidden/>
    <w:unhideWhenUsed/>
    <w:qFormat/>
    <w:rsid w:val="005D2075"/>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5F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F28"/>
    <w:rPr>
      <w:rFonts w:ascii="Tahoma" w:hAnsi="Tahoma" w:cs="Tahoma"/>
      <w:sz w:val="16"/>
      <w:szCs w:val="16"/>
    </w:rPr>
  </w:style>
  <w:style w:type="character" w:customStyle="1" w:styleId="Ttulo5Car">
    <w:name w:val="Título 5 Car"/>
    <w:basedOn w:val="Fuentedeprrafopredeter"/>
    <w:link w:val="Ttulo5"/>
    <w:uiPriority w:val="9"/>
    <w:semiHidden/>
    <w:rsid w:val="005D2075"/>
    <w:rPr>
      <w:rFonts w:ascii="Calibri" w:eastAsia="Times New Roman" w:hAnsi="Calibri" w:cs="Times New Roman"/>
      <w:b/>
      <w:bCs/>
      <w:i/>
      <w:iCs/>
      <w:sz w:val="26"/>
      <w:szCs w:val="26"/>
    </w:rPr>
  </w:style>
  <w:style w:type="paragraph" w:styleId="Sangradetextonormal">
    <w:name w:val="Body Text Indent"/>
    <w:basedOn w:val="Normal"/>
    <w:link w:val="SangradetextonormalCar"/>
    <w:rsid w:val="005D207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D207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D2075"/>
    <w:pPr>
      <w:spacing w:after="120"/>
      <w:ind w:left="283"/>
    </w:pPr>
    <w:rPr>
      <w:rFonts w:ascii="Calibri" w:eastAsia="Calibri" w:hAnsi="Calibri" w:cs="Times New Roman"/>
      <w:sz w:val="16"/>
      <w:szCs w:val="16"/>
    </w:rPr>
  </w:style>
  <w:style w:type="character" w:customStyle="1" w:styleId="Sangra3detindependienteCar">
    <w:name w:val="Sangría 3 de t. independiente Car"/>
    <w:basedOn w:val="Fuentedeprrafopredeter"/>
    <w:link w:val="Sangra3detindependiente"/>
    <w:uiPriority w:val="99"/>
    <w:rsid w:val="005D2075"/>
    <w:rPr>
      <w:rFonts w:ascii="Calibri" w:eastAsia="Calibri" w:hAnsi="Calibri" w:cs="Times New Roman"/>
      <w:sz w:val="16"/>
      <w:szCs w:val="16"/>
    </w:rPr>
  </w:style>
  <w:style w:type="paragraph" w:styleId="Textoindependiente2">
    <w:name w:val="Body Text 2"/>
    <w:basedOn w:val="Normal"/>
    <w:link w:val="Textoindependiente2Car"/>
    <w:rsid w:val="005D207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5D2075"/>
    <w:rPr>
      <w:rFonts w:ascii="Times New Roman" w:eastAsia="Times New Roman" w:hAnsi="Times New Roman" w:cs="Times New Roman"/>
      <w:sz w:val="24"/>
      <w:szCs w:val="24"/>
      <w:lang w:val="es-ES" w:eastAsia="es-ES"/>
    </w:rPr>
  </w:style>
  <w:style w:type="character" w:styleId="Refdenotaalpie">
    <w:name w:val="footnote reference"/>
    <w:uiPriority w:val="99"/>
    <w:rsid w:val="005D2075"/>
    <w:rPr>
      <w:vertAlign w:val="superscript"/>
    </w:rPr>
  </w:style>
  <w:style w:type="paragraph" w:styleId="Textonotapie">
    <w:name w:val="footnote text"/>
    <w:basedOn w:val="Normal"/>
    <w:link w:val="TextonotapieCar"/>
    <w:rsid w:val="005D2075"/>
    <w:pPr>
      <w:widowControl w:val="0"/>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xtonotapieCar">
    <w:name w:val="Texto nota pie Car"/>
    <w:basedOn w:val="Fuentedeprrafopredeter"/>
    <w:link w:val="Textonotapie"/>
    <w:rsid w:val="005D2075"/>
    <w:rPr>
      <w:rFonts w:ascii="Times New Roman" w:eastAsia="SimSun" w:hAnsi="Times New Roman" w:cs="Mangal"/>
      <w:kern w:val="1"/>
      <w:sz w:val="20"/>
      <w:szCs w:val="20"/>
      <w:lang w:eastAsia="hi-IN" w:bidi="hi-IN"/>
    </w:rPr>
  </w:style>
  <w:style w:type="paragraph" w:customStyle="1" w:styleId="Sangra3detindependiente1">
    <w:name w:val="Sangría 3 de t. independiente1"/>
    <w:basedOn w:val="Normal"/>
    <w:rsid w:val="005D2075"/>
    <w:pPr>
      <w:widowControl w:val="0"/>
      <w:suppressAutoHyphens/>
      <w:spacing w:after="0" w:line="480" w:lineRule="auto"/>
      <w:ind w:firstLine="708"/>
      <w:jc w:val="both"/>
    </w:pPr>
    <w:rPr>
      <w:rFonts w:ascii="Times New Roman" w:eastAsia="SimSun" w:hAnsi="Times New Roman" w:cs="Mangal"/>
      <w:kern w:val="1"/>
      <w:sz w:val="24"/>
      <w:szCs w:val="24"/>
      <w:lang w:eastAsia="hi-IN" w:bidi="hi-IN"/>
    </w:rPr>
  </w:style>
  <w:style w:type="paragraph" w:styleId="Prrafodelista">
    <w:name w:val="List Paragraph"/>
    <w:basedOn w:val="Normal"/>
    <w:uiPriority w:val="34"/>
    <w:qFormat/>
    <w:rsid w:val="00B07068"/>
    <w:pPr>
      <w:spacing w:after="160" w:line="259" w:lineRule="auto"/>
      <w:ind w:left="720"/>
      <w:contextualSpacing/>
    </w:pPr>
  </w:style>
  <w:style w:type="table" w:customStyle="1" w:styleId="Tabladecuadrcula1clara1">
    <w:name w:val="Tabla de cuadrícula 1 clara1"/>
    <w:basedOn w:val="Tablanormal"/>
    <w:uiPriority w:val="46"/>
    <w:rsid w:val="00B070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8638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7756">
      <w:bodyDiv w:val="1"/>
      <w:marLeft w:val="0"/>
      <w:marRight w:val="0"/>
      <w:marTop w:val="0"/>
      <w:marBottom w:val="0"/>
      <w:divBdr>
        <w:top w:val="none" w:sz="0" w:space="0" w:color="auto"/>
        <w:left w:val="none" w:sz="0" w:space="0" w:color="auto"/>
        <w:bottom w:val="none" w:sz="0" w:space="0" w:color="auto"/>
        <w:right w:val="none" w:sz="0" w:space="0" w:color="auto"/>
      </w:divBdr>
    </w:div>
    <w:div w:id="204801727">
      <w:bodyDiv w:val="1"/>
      <w:marLeft w:val="0"/>
      <w:marRight w:val="0"/>
      <w:marTop w:val="0"/>
      <w:marBottom w:val="0"/>
      <w:divBdr>
        <w:top w:val="none" w:sz="0" w:space="0" w:color="auto"/>
        <w:left w:val="none" w:sz="0" w:space="0" w:color="auto"/>
        <w:bottom w:val="none" w:sz="0" w:space="0" w:color="auto"/>
        <w:right w:val="none" w:sz="0" w:space="0" w:color="auto"/>
      </w:divBdr>
    </w:div>
    <w:div w:id="232471305">
      <w:bodyDiv w:val="1"/>
      <w:marLeft w:val="0"/>
      <w:marRight w:val="0"/>
      <w:marTop w:val="0"/>
      <w:marBottom w:val="0"/>
      <w:divBdr>
        <w:top w:val="none" w:sz="0" w:space="0" w:color="auto"/>
        <w:left w:val="none" w:sz="0" w:space="0" w:color="auto"/>
        <w:bottom w:val="none" w:sz="0" w:space="0" w:color="auto"/>
        <w:right w:val="none" w:sz="0" w:space="0" w:color="auto"/>
      </w:divBdr>
    </w:div>
    <w:div w:id="482698071">
      <w:bodyDiv w:val="1"/>
      <w:marLeft w:val="0"/>
      <w:marRight w:val="0"/>
      <w:marTop w:val="0"/>
      <w:marBottom w:val="0"/>
      <w:divBdr>
        <w:top w:val="none" w:sz="0" w:space="0" w:color="auto"/>
        <w:left w:val="none" w:sz="0" w:space="0" w:color="auto"/>
        <w:bottom w:val="none" w:sz="0" w:space="0" w:color="auto"/>
        <w:right w:val="none" w:sz="0" w:space="0" w:color="auto"/>
      </w:divBdr>
    </w:div>
    <w:div w:id="562103292">
      <w:bodyDiv w:val="1"/>
      <w:marLeft w:val="0"/>
      <w:marRight w:val="0"/>
      <w:marTop w:val="0"/>
      <w:marBottom w:val="0"/>
      <w:divBdr>
        <w:top w:val="none" w:sz="0" w:space="0" w:color="auto"/>
        <w:left w:val="none" w:sz="0" w:space="0" w:color="auto"/>
        <w:bottom w:val="none" w:sz="0" w:space="0" w:color="auto"/>
        <w:right w:val="none" w:sz="0" w:space="0" w:color="auto"/>
      </w:divBdr>
    </w:div>
    <w:div w:id="793984867">
      <w:bodyDiv w:val="1"/>
      <w:marLeft w:val="0"/>
      <w:marRight w:val="0"/>
      <w:marTop w:val="0"/>
      <w:marBottom w:val="0"/>
      <w:divBdr>
        <w:top w:val="none" w:sz="0" w:space="0" w:color="auto"/>
        <w:left w:val="none" w:sz="0" w:space="0" w:color="auto"/>
        <w:bottom w:val="none" w:sz="0" w:space="0" w:color="auto"/>
        <w:right w:val="none" w:sz="0" w:space="0" w:color="auto"/>
      </w:divBdr>
    </w:div>
    <w:div w:id="989485246">
      <w:bodyDiv w:val="1"/>
      <w:marLeft w:val="0"/>
      <w:marRight w:val="0"/>
      <w:marTop w:val="0"/>
      <w:marBottom w:val="0"/>
      <w:divBdr>
        <w:top w:val="none" w:sz="0" w:space="0" w:color="auto"/>
        <w:left w:val="none" w:sz="0" w:space="0" w:color="auto"/>
        <w:bottom w:val="none" w:sz="0" w:space="0" w:color="auto"/>
        <w:right w:val="none" w:sz="0" w:space="0" w:color="auto"/>
      </w:divBdr>
    </w:div>
    <w:div w:id="1167283675">
      <w:bodyDiv w:val="1"/>
      <w:marLeft w:val="0"/>
      <w:marRight w:val="0"/>
      <w:marTop w:val="0"/>
      <w:marBottom w:val="0"/>
      <w:divBdr>
        <w:top w:val="none" w:sz="0" w:space="0" w:color="auto"/>
        <w:left w:val="none" w:sz="0" w:space="0" w:color="auto"/>
        <w:bottom w:val="none" w:sz="0" w:space="0" w:color="auto"/>
        <w:right w:val="none" w:sz="0" w:space="0" w:color="auto"/>
      </w:divBdr>
    </w:div>
    <w:div w:id="1173297296">
      <w:bodyDiv w:val="1"/>
      <w:marLeft w:val="0"/>
      <w:marRight w:val="0"/>
      <w:marTop w:val="0"/>
      <w:marBottom w:val="0"/>
      <w:divBdr>
        <w:top w:val="none" w:sz="0" w:space="0" w:color="auto"/>
        <w:left w:val="none" w:sz="0" w:space="0" w:color="auto"/>
        <w:bottom w:val="none" w:sz="0" w:space="0" w:color="auto"/>
        <w:right w:val="none" w:sz="0" w:space="0" w:color="auto"/>
      </w:divBdr>
    </w:div>
    <w:div w:id="1245384596">
      <w:bodyDiv w:val="1"/>
      <w:marLeft w:val="0"/>
      <w:marRight w:val="0"/>
      <w:marTop w:val="0"/>
      <w:marBottom w:val="0"/>
      <w:divBdr>
        <w:top w:val="none" w:sz="0" w:space="0" w:color="auto"/>
        <w:left w:val="none" w:sz="0" w:space="0" w:color="auto"/>
        <w:bottom w:val="none" w:sz="0" w:space="0" w:color="auto"/>
        <w:right w:val="none" w:sz="0" w:space="0" w:color="auto"/>
      </w:divBdr>
    </w:div>
    <w:div w:id="1449743687">
      <w:bodyDiv w:val="1"/>
      <w:marLeft w:val="0"/>
      <w:marRight w:val="0"/>
      <w:marTop w:val="0"/>
      <w:marBottom w:val="0"/>
      <w:divBdr>
        <w:top w:val="none" w:sz="0" w:space="0" w:color="auto"/>
        <w:left w:val="none" w:sz="0" w:space="0" w:color="auto"/>
        <w:bottom w:val="none" w:sz="0" w:space="0" w:color="auto"/>
        <w:right w:val="none" w:sz="0" w:space="0" w:color="auto"/>
      </w:divBdr>
    </w:div>
    <w:div w:id="1897161527">
      <w:bodyDiv w:val="1"/>
      <w:marLeft w:val="0"/>
      <w:marRight w:val="0"/>
      <w:marTop w:val="0"/>
      <w:marBottom w:val="0"/>
      <w:divBdr>
        <w:top w:val="none" w:sz="0" w:space="0" w:color="auto"/>
        <w:left w:val="none" w:sz="0" w:space="0" w:color="auto"/>
        <w:bottom w:val="none" w:sz="0" w:space="0" w:color="auto"/>
        <w:right w:val="none" w:sz="0" w:space="0" w:color="auto"/>
      </w:divBdr>
    </w:div>
    <w:div w:id="1897620207">
      <w:bodyDiv w:val="1"/>
      <w:marLeft w:val="0"/>
      <w:marRight w:val="0"/>
      <w:marTop w:val="0"/>
      <w:marBottom w:val="0"/>
      <w:divBdr>
        <w:top w:val="none" w:sz="0" w:space="0" w:color="auto"/>
        <w:left w:val="none" w:sz="0" w:space="0" w:color="auto"/>
        <w:bottom w:val="none" w:sz="0" w:space="0" w:color="auto"/>
        <w:right w:val="none" w:sz="0" w:space="0" w:color="auto"/>
      </w:divBdr>
    </w:div>
    <w:div w:id="19202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mailto:cesareo.gamezgr@uanl.edu.mx" TargetMode="External"/><Relationship Id="rId1" Type="http://schemas.openxmlformats.org/officeDocument/2006/relationships/hyperlink" Target="mailto:acxel.amarillas@uadec.edu.m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Cesareo%20G&#225;mez\Documents\PAPERS%202016\FORMACI&#211;N%20DE%20CAPITAL\EVENTOS%20CAPITAL\FC%2093-2016.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PUBLICA</c:v>
          </c:tx>
          <c:marker>
            <c:symbol val="none"/>
          </c:marker>
          <c:cat>
            <c:numRef>
              <c:f>PUBPRIV!$E$8:$E$95</c:f>
              <c:numCache>
                <c:formatCode>General</c:formatCode>
                <c:ptCount val="88"/>
                <c:pt idx="0">
                  <c:v>1994</c:v>
                </c:pt>
                <c:pt idx="4">
                  <c:v>1995</c:v>
                </c:pt>
                <c:pt idx="8">
                  <c:v>1996</c:v>
                </c:pt>
                <c:pt idx="12">
                  <c:v>1997</c:v>
                </c:pt>
                <c:pt idx="16">
                  <c:v>1998</c:v>
                </c:pt>
                <c:pt idx="20">
                  <c:v>1999</c:v>
                </c:pt>
                <c:pt idx="24">
                  <c:v>2000</c:v>
                </c:pt>
                <c:pt idx="28">
                  <c:v>2001</c:v>
                </c:pt>
                <c:pt idx="32">
                  <c:v>2002</c:v>
                </c:pt>
                <c:pt idx="36">
                  <c:v>2003</c:v>
                </c:pt>
                <c:pt idx="40">
                  <c:v>2004</c:v>
                </c:pt>
                <c:pt idx="44">
                  <c:v>2005</c:v>
                </c:pt>
                <c:pt idx="48">
                  <c:v>2006</c:v>
                </c:pt>
                <c:pt idx="52">
                  <c:v>2007</c:v>
                </c:pt>
                <c:pt idx="56">
                  <c:v>2008</c:v>
                </c:pt>
                <c:pt idx="60">
                  <c:v>2009</c:v>
                </c:pt>
                <c:pt idx="64">
                  <c:v>2010</c:v>
                </c:pt>
                <c:pt idx="68">
                  <c:v>2011</c:v>
                </c:pt>
                <c:pt idx="72">
                  <c:v>2012</c:v>
                </c:pt>
                <c:pt idx="76">
                  <c:v>2013</c:v>
                </c:pt>
                <c:pt idx="80">
                  <c:v>2014</c:v>
                </c:pt>
                <c:pt idx="84">
                  <c:v>2015</c:v>
                </c:pt>
              </c:numCache>
            </c:numRef>
          </c:cat>
          <c:val>
            <c:numRef>
              <c:f>PUBPRIV!$C$8:$C$95</c:f>
              <c:numCache>
                <c:formatCode>0.0</c:formatCode>
                <c:ptCount val="88"/>
                <c:pt idx="0">
                  <c:v>46.097622519479799</c:v>
                </c:pt>
                <c:pt idx="1">
                  <c:v>30.562915748638879</c:v>
                </c:pt>
                <c:pt idx="2">
                  <c:v>32.579394986027097</c:v>
                </c:pt>
                <c:pt idx="3">
                  <c:v>46.160262106711095</c:v>
                </c:pt>
                <c:pt idx="4">
                  <c:v>56.826953057123141</c:v>
                </c:pt>
                <c:pt idx="5">
                  <c:v>43.446216427876188</c:v>
                </c:pt>
                <c:pt idx="6">
                  <c:v>45.920130598257622</c:v>
                </c:pt>
                <c:pt idx="7">
                  <c:v>60.679563824436109</c:v>
                </c:pt>
                <c:pt idx="8">
                  <c:v>43.657334546024771</c:v>
                </c:pt>
                <c:pt idx="9">
                  <c:v>43.074348775087593</c:v>
                </c:pt>
                <c:pt idx="10">
                  <c:v>42.220721926719293</c:v>
                </c:pt>
                <c:pt idx="11">
                  <c:v>51.998130527538777</c:v>
                </c:pt>
                <c:pt idx="12">
                  <c:v>43.200231706916078</c:v>
                </c:pt>
                <c:pt idx="13">
                  <c:v>42.488619007238555</c:v>
                </c:pt>
                <c:pt idx="14">
                  <c:v>37.880217631375736</c:v>
                </c:pt>
                <c:pt idx="15">
                  <c:v>45.01049344843701</c:v>
                </c:pt>
                <c:pt idx="16">
                  <c:v>35.070487478679659</c:v>
                </c:pt>
                <c:pt idx="17">
                  <c:v>35.767823024270434</c:v>
                </c:pt>
                <c:pt idx="18">
                  <c:v>36.714320827954339</c:v>
                </c:pt>
                <c:pt idx="19">
                  <c:v>41.063574203637351</c:v>
                </c:pt>
                <c:pt idx="20">
                  <c:v>34.503736970246948</c:v>
                </c:pt>
                <c:pt idx="21">
                  <c:v>29.883418174667991</c:v>
                </c:pt>
                <c:pt idx="22">
                  <c:v>28.65456379139415</c:v>
                </c:pt>
                <c:pt idx="23">
                  <c:v>33.94658628712893</c:v>
                </c:pt>
                <c:pt idx="24">
                  <c:v>27.128965535057002</c:v>
                </c:pt>
                <c:pt idx="25">
                  <c:v>27.891810789156203</c:v>
                </c:pt>
                <c:pt idx="26">
                  <c:v>27.878718859891048</c:v>
                </c:pt>
                <c:pt idx="27">
                  <c:v>26.279366049782677</c:v>
                </c:pt>
                <c:pt idx="28">
                  <c:v>23.916955978059285</c:v>
                </c:pt>
                <c:pt idx="29">
                  <c:v>24.476246092491976</c:v>
                </c:pt>
                <c:pt idx="30">
                  <c:v>20.712374671063696</c:v>
                </c:pt>
                <c:pt idx="31">
                  <c:v>25.050422010189777</c:v>
                </c:pt>
                <c:pt idx="32">
                  <c:v>20.635546131343734</c:v>
                </c:pt>
                <c:pt idx="33">
                  <c:v>21.084191653585442</c:v>
                </c:pt>
                <c:pt idx="34">
                  <c:v>19.900559435677337</c:v>
                </c:pt>
                <c:pt idx="35">
                  <c:v>22.947062455085671</c:v>
                </c:pt>
                <c:pt idx="36">
                  <c:v>21.382645206813272</c:v>
                </c:pt>
                <c:pt idx="37">
                  <c:v>20.855740897132502</c:v>
                </c:pt>
                <c:pt idx="38">
                  <c:v>20.654452647885556</c:v>
                </c:pt>
                <c:pt idx="39">
                  <c:v>24.341353679405831</c:v>
                </c:pt>
                <c:pt idx="40">
                  <c:v>19.786355402765825</c:v>
                </c:pt>
                <c:pt idx="41">
                  <c:v>20.052561522436896</c:v>
                </c:pt>
                <c:pt idx="42">
                  <c:v>22.310514443118073</c:v>
                </c:pt>
                <c:pt idx="43">
                  <c:v>23.552383810447733</c:v>
                </c:pt>
                <c:pt idx="44">
                  <c:v>21.494397428361868</c:v>
                </c:pt>
                <c:pt idx="45">
                  <c:v>21.997492303084435</c:v>
                </c:pt>
                <c:pt idx="46">
                  <c:v>21.773347979790977</c:v>
                </c:pt>
                <c:pt idx="47">
                  <c:v>23.383779623658882</c:v>
                </c:pt>
                <c:pt idx="48">
                  <c:v>21.559287017886103</c:v>
                </c:pt>
                <c:pt idx="49">
                  <c:v>21.061944259822361</c:v>
                </c:pt>
                <c:pt idx="50">
                  <c:v>21.471180872184842</c:v>
                </c:pt>
                <c:pt idx="51">
                  <c:v>21.864640953073533</c:v>
                </c:pt>
                <c:pt idx="52">
                  <c:v>20.657741889094986</c:v>
                </c:pt>
                <c:pt idx="53">
                  <c:v>20.349989131040381</c:v>
                </c:pt>
                <c:pt idx="54">
                  <c:v>20.345874532432951</c:v>
                </c:pt>
                <c:pt idx="55">
                  <c:v>22.24316643571365</c:v>
                </c:pt>
                <c:pt idx="56">
                  <c:v>22.42497487035789</c:v>
                </c:pt>
                <c:pt idx="57">
                  <c:v>23.394910821639655</c:v>
                </c:pt>
                <c:pt idx="58">
                  <c:v>24.262838640119615</c:v>
                </c:pt>
                <c:pt idx="59">
                  <c:v>26.849153523275081</c:v>
                </c:pt>
                <c:pt idx="60">
                  <c:v>29.10826688599365</c:v>
                </c:pt>
                <c:pt idx="61">
                  <c:v>28.257404522943702</c:v>
                </c:pt>
                <c:pt idx="62">
                  <c:v>25.564659202684382</c:v>
                </c:pt>
                <c:pt idx="63">
                  <c:v>25.209196170901333</c:v>
                </c:pt>
                <c:pt idx="64">
                  <c:v>25.67286658731965</c:v>
                </c:pt>
                <c:pt idx="65">
                  <c:v>26.335763560007379</c:v>
                </c:pt>
                <c:pt idx="66">
                  <c:v>26.461935292432859</c:v>
                </c:pt>
                <c:pt idx="67">
                  <c:v>27.431006359479888</c:v>
                </c:pt>
                <c:pt idx="68">
                  <c:v>24.152197418590767</c:v>
                </c:pt>
                <c:pt idx="69">
                  <c:v>23.536410037023959</c:v>
                </c:pt>
                <c:pt idx="70">
                  <c:v>23.43758823706349</c:v>
                </c:pt>
                <c:pt idx="71">
                  <c:v>23.307056140119535</c:v>
                </c:pt>
                <c:pt idx="72">
                  <c:v>20.177035535385237</c:v>
                </c:pt>
                <c:pt idx="73">
                  <c:v>20.627840871609624</c:v>
                </c:pt>
                <c:pt idx="74">
                  <c:v>20.388539644397873</c:v>
                </c:pt>
                <c:pt idx="75">
                  <c:v>20.696360931938791</c:v>
                </c:pt>
                <c:pt idx="76">
                  <c:v>18.986115250977246</c:v>
                </c:pt>
                <c:pt idx="77">
                  <c:v>19.930214945650711</c:v>
                </c:pt>
                <c:pt idx="78">
                  <c:v>20.995005279161351</c:v>
                </c:pt>
                <c:pt idx="79">
                  <c:v>22.05957740641195</c:v>
                </c:pt>
                <c:pt idx="80">
                  <c:v>18.553774872112665</c:v>
                </c:pt>
                <c:pt idx="81">
                  <c:v>18.555733547713761</c:v>
                </c:pt>
                <c:pt idx="82">
                  <c:v>19.272527877892728</c:v>
                </c:pt>
                <c:pt idx="83">
                  <c:v>19.399888287421131</c:v>
                </c:pt>
                <c:pt idx="84">
                  <c:v>17.066634160025565</c:v>
                </c:pt>
                <c:pt idx="85">
                  <c:v>17.388973479633453</c:v>
                </c:pt>
                <c:pt idx="86">
                  <c:v>16.573437736490675</c:v>
                </c:pt>
                <c:pt idx="87">
                  <c:v>17.100990293450614</c:v>
                </c:pt>
              </c:numCache>
            </c:numRef>
          </c:val>
          <c:smooth val="0"/>
        </c:ser>
        <c:ser>
          <c:idx val="1"/>
          <c:order val="1"/>
          <c:tx>
            <c:v>PRIVADA</c:v>
          </c:tx>
          <c:marker>
            <c:symbol val="none"/>
          </c:marker>
          <c:cat>
            <c:numRef>
              <c:f>PUBPRIV!$E$8:$E$95</c:f>
              <c:numCache>
                <c:formatCode>General</c:formatCode>
                <c:ptCount val="88"/>
                <c:pt idx="0">
                  <c:v>1994</c:v>
                </c:pt>
                <c:pt idx="4">
                  <c:v>1995</c:v>
                </c:pt>
                <c:pt idx="8">
                  <c:v>1996</c:v>
                </c:pt>
                <c:pt idx="12">
                  <c:v>1997</c:v>
                </c:pt>
                <c:pt idx="16">
                  <c:v>1998</c:v>
                </c:pt>
                <c:pt idx="20">
                  <c:v>1999</c:v>
                </c:pt>
                <c:pt idx="24">
                  <c:v>2000</c:v>
                </c:pt>
                <c:pt idx="28">
                  <c:v>2001</c:v>
                </c:pt>
                <c:pt idx="32">
                  <c:v>2002</c:v>
                </c:pt>
                <c:pt idx="36">
                  <c:v>2003</c:v>
                </c:pt>
                <c:pt idx="40">
                  <c:v>2004</c:v>
                </c:pt>
                <c:pt idx="44">
                  <c:v>2005</c:v>
                </c:pt>
                <c:pt idx="48">
                  <c:v>2006</c:v>
                </c:pt>
                <c:pt idx="52">
                  <c:v>2007</c:v>
                </c:pt>
                <c:pt idx="56">
                  <c:v>2008</c:v>
                </c:pt>
                <c:pt idx="60">
                  <c:v>2009</c:v>
                </c:pt>
                <c:pt idx="64">
                  <c:v>2010</c:v>
                </c:pt>
                <c:pt idx="68">
                  <c:v>2011</c:v>
                </c:pt>
                <c:pt idx="72">
                  <c:v>2012</c:v>
                </c:pt>
                <c:pt idx="76">
                  <c:v>2013</c:v>
                </c:pt>
                <c:pt idx="80">
                  <c:v>2014</c:v>
                </c:pt>
                <c:pt idx="84">
                  <c:v>2015</c:v>
                </c:pt>
              </c:numCache>
            </c:numRef>
          </c:cat>
          <c:val>
            <c:numRef>
              <c:f>PUBPRIV!$D$8:$D$95</c:f>
              <c:numCache>
                <c:formatCode>0.0</c:formatCode>
                <c:ptCount val="88"/>
                <c:pt idx="0">
                  <c:v>53.902377480520201</c:v>
                </c:pt>
                <c:pt idx="1">
                  <c:v>69.437084251361128</c:v>
                </c:pt>
                <c:pt idx="2">
                  <c:v>67.420605013972903</c:v>
                </c:pt>
                <c:pt idx="3">
                  <c:v>53.839737893288905</c:v>
                </c:pt>
                <c:pt idx="4">
                  <c:v>43.173046860012178</c:v>
                </c:pt>
                <c:pt idx="5">
                  <c:v>56.553783476130427</c:v>
                </c:pt>
                <c:pt idx="6">
                  <c:v>54.079869316140197</c:v>
                </c:pt>
                <c:pt idx="7">
                  <c:v>39.320436253046651</c:v>
                </c:pt>
                <c:pt idx="8">
                  <c:v>56.342665373904154</c:v>
                </c:pt>
                <c:pt idx="9">
                  <c:v>56.925651306251446</c:v>
                </c:pt>
                <c:pt idx="10">
                  <c:v>57.779278073280715</c:v>
                </c:pt>
                <c:pt idx="11">
                  <c:v>48.001869472461216</c:v>
                </c:pt>
                <c:pt idx="12">
                  <c:v>56.799768293083929</c:v>
                </c:pt>
                <c:pt idx="13">
                  <c:v>57.511380992761453</c:v>
                </c:pt>
                <c:pt idx="14">
                  <c:v>62.119782368624264</c:v>
                </c:pt>
                <c:pt idx="15">
                  <c:v>54.989506551562982</c:v>
                </c:pt>
                <c:pt idx="16">
                  <c:v>64.929512521320333</c:v>
                </c:pt>
                <c:pt idx="17">
                  <c:v>64.232176975729573</c:v>
                </c:pt>
                <c:pt idx="18">
                  <c:v>63.285679225128689</c:v>
                </c:pt>
                <c:pt idx="19">
                  <c:v>58.936425796362649</c:v>
                </c:pt>
                <c:pt idx="20">
                  <c:v>65.496263029753052</c:v>
                </c:pt>
                <c:pt idx="21">
                  <c:v>70.11658182533202</c:v>
                </c:pt>
                <c:pt idx="22">
                  <c:v>71.345436208605847</c:v>
                </c:pt>
                <c:pt idx="23">
                  <c:v>66.053413712871063</c:v>
                </c:pt>
                <c:pt idx="24">
                  <c:v>72.871034464943008</c:v>
                </c:pt>
                <c:pt idx="25">
                  <c:v>72.108189210843804</c:v>
                </c:pt>
                <c:pt idx="26">
                  <c:v>72.121281140108948</c:v>
                </c:pt>
                <c:pt idx="27">
                  <c:v>73.720633950217319</c:v>
                </c:pt>
                <c:pt idx="28">
                  <c:v>76.083044073895948</c:v>
                </c:pt>
                <c:pt idx="29">
                  <c:v>75.523753907508024</c:v>
                </c:pt>
                <c:pt idx="30">
                  <c:v>79.287625328936301</c:v>
                </c:pt>
                <c:pt idx="31">
                  <c:v>74.949577989810223</c:v>
                </c:pt>
                <c:pt idx="32">
                  <c:v>79.364453868656284</c:v>
                </c:pt>
                <c:pt idx="33">
                  <c:v>78.915808346414551</c:v>
                </c:pt>
                <c:pt idx="34">
                  <c:v>80.099440564322663</c:v>
                </c:pt>
                <c:pt idx="35">
                  <c:v>77.052937544914329</c:v>
                </c:pt>
                <c:pt idx="36">
                  <c:v>78.617354793186735</c:v>
                </c:pt>
                <c:pt idx="37">
                  <c:v>79.144259102867494</c:v>
                </c:pt>
                <c:pt idx="38">
                  <c:v>79.345547352114437</c:v>
                </c:pt>
                <c:pt idx="39">
                  <c:v>75.658646320594187</c:v>
                </c:pt>
                <c:pt idx="40">
                  <c:v>80.213644644118418</c:v>
                </c:pt>
                <c:pt idx="41">
                  <c:v>79.947438477563111</c:v>
                </c:pt>
                <c:pt idx="42">
                  <c:v>77.689485556881934</c:v>
                </c:pt>
                <c:pt idx="43">
                  <c:v>76.447616189552264</c:v>
                </c:pt>
                <c:pt idx="44">
                  <c:v>78.505602526431915</c:v>
                </c:pt>
                <c:pt idx="45">
                  <c:v>78.002507740805783</c:v>
                </c:pt>
                <c:pt idx="46">
                  <c:v>78.226652062486949</c:v>
                </c:pt>
                <c:pt idx="47">
                  <c:v>76.616220376341133</c:v>
                </c:pt>
                <c:pt idx="48">
                  <c:v>78.440712982113894</c:v>
                </c:pt>
                <c:pt idx="49">
                  <c:v>78.938055780754851</c:v>
                </c:pt>
                <c:pt idx="50">
                  <c:v>78.528819127815154</c:v>
                </c:pt>
                <c:pt idx="51">
                  <c:v>78.135359046926467</c:v>
                </c:pt>
                <c:pt idx="52">
                  <c:v>79.342258110905021</c:v>
                </c:pt>
                <c:pt idx="53">
                  <c:v>79.650010907699439</c:v>
                </c:pt>
                <c:pt idx="54">
                  <c:v>79.654125467567056</c:v>
                </c:pt>
                <c:pt idx="55">
                  <c:v>77.756833564286353</c:v>
                </c:pt>
                <c:pt idx="56">
                  <c:v>77.575025129642114</c:v>
                </c:pt>
                <c:pt idx="57">
                  <c:v>76.605089213354177</c:v>
                </c:pt>
                <c:pt idx="58">
                  <c:v>75.737161325446749</c:v>
                </c:pt>
                <c:pt idx="59">
                  <c:v>73.150846476724922</c:v>
                </c:pt>
                <c:pt idx="60">
                  <c:v>70.891733073654379</c:v>
                </c:pt>
                <c:pt idx="61">
                  <c:v>71.742595477056298</c:v>
                </c:pt>
                <c:pt idx="62">
                  <c:v>74.435340797315618</c:v>
                </c:pt>
                <c:pt idx="63">
                  <c:v>74.790803829098664</c:v>
                </c:pt>
                <c:pt idx="64">
                  <c:v>74.327133412680354</c:v>
                </c:pt>
                <c:pt idx="65">
                  <c:v>73.664236439992621</c:v>
                </c:pt>
                <c:pt idx="66">
                  <c:v>73.538064707567159</c:v>
                </c:pt>
                <c:pt idx="67">
                  <c:v>72.568993640520105</c:v>
                </c:pt>
                <c:pt idx="68">
                  <c:v>75.84780258140924</c:v>
                </c:pt>
                <c:pt idx="69">
                  <c:v>76.463589962976044</c:v>
                </c:pt>
                <c:pt idx="70">
                  <c:v>76.562411727992639</c:v>
                </c:pt>
                <c:pt idx="71">
                  <c:v>76.692943892710346</c:v>
                </c:pt>
                <c:pt idx="72">
                  <c:v>79.82296446461477</c:v>
                </c:pt>
                <c:pt idx="73">
                  <c:v>79.372159128390379</c:v>
                </c:pt>
                <c:pt idx="74">
                  <c:v>79.611460355602119</c:v>
                </c:pt>
                <c:pt idx="75">
                  <c:v>79.303639068061216</c:v>
                </c:pt>
                <c:pt idx="76">
                  <c:v>81.01388474902275</c:v>
                </c:pt>
                <c:pt idx="77">
                  <c:v>80.069785054349282</c:v>
                </c:pt>
                <c:pt idx="78">
                  <c:v>79.004994686142496</c:v>
                </c:pt>
                <c:pt idx="79">
                  <c:v>77.940422593588053</c:v>
                </c:pt>
                <c:pt idx="80">
                  <c:v>81.446225127887345</c:v>
                </c:pt>
                <c:pt idx="81">
                  <c:v>81.444266452286243</c:v>
                </c:pt>
                <c:pt idx="82">
                  <c:v>80.727472122107272</c:v>
                </c:pt>
                <c:pt idx="83">
                  <c:v>80.600111712578865</c:v>
                </c:pt>
                <c:pt idx="84">
                  <c:v>82.933365874630482</c:v>
                </c:pt>
                <c:pt idx="85">
                  <c:v>82.611026520366551</c:v>
                </c:pt>
                <c:pt idx="86">
                  <c:v>83.426562263509325</c:v>
                </c:pt>
                <c:pt idx="87">
                  <c:v>82.899009706549379</c:v>
                </c:pt>
              </c:numCache>
            </c:numRef>
          </c:val>
          <c:smooth val="0"/>
        </c:ser>
        <c:dLbls>
          <c:showLegendKey val="0"/>
          <c:showVal val="0"/>
          <c:showCatName val="0"/>
          <c:showSerName val="0"/>
          <c:showPercent val="0"/>
          <c:showBubbleSize val="0"/>
        </c:dLbls>
        <c:marker val="1"/>
        <c:smooth val="0"/>
        <c:axId val="151302912"/>
        <c:axId val="151304448"/>
      </c:lineChart>
      <c:catAx>
        <c:axId val="151302912"/>
        <c:scaling>
          <c:orientation val="minMax"/>
        </c:scaling>
        <c:delete val="0"/>
        <c:axPos val="b"/>
        <c:numFmt formatCode="General" sourceLinked="1"/>
        <c:majorTickMark val="out"/>
        <c:minorTickMark val="none"/>
        <c:tickLblPos val="nextTo"/>
        <c:crossAx val="151304448"/>
        <c:crosses val="autoZero"/>
        <c:auto val="1"/>
        <c:lblAlgn val="ctr"/>
        <c:lblOffset val="100"/>
        <c:noMultiLvlLbl val="0"/>
      </c:catAx>
      <c:valAx>
        <c:axId val="151304448"/>
        <c:scaling>
          <c:orientation val="minMax"/>
        </c:scaling>
        <c:delete val="0"/>
        <c:axPos val="l"/>
        <c:majorGridlines/>
        <c:numFmt formatCode="0.0" sourceLinked="1"/>
        <c:majorTickMark val="out"/>
        <c:minorTickMark val="none"/>
        <c:tickLblPos val="nextTo"/>
        <c:crossAx val="151302912"/>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F53F5-20A1-4AC2-A340-414A9801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4817</Words>
  <Characters>26494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Facultad de Economía</Company>
  <LinksUpToDate>false</LinksUpToDate>
  <CharactersWithSpaces>31249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Cesáreo Gámez Garza</dc:creator>
  <cp:lastModifiedBy>DR Cesário G'amez</cp:lastModifiedBy>
  <cp:revision>5</cp:revision>
  <dcterms:created xsi:type="dcterms:W3CDTF">2016-09-19T18:46:00Z</dcterms:created>
  <dcterms:modified xsi:type="dcterms:W3CDTF">2016-09-19T19:43:00Z</dcterms:modified>
</cp:coreProperties>
</file>